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Рукопис:</w:t>
      </w:r>
    </w:p>
    <w:p w:rsidR="00A23259" w:rsidRPr="000C4BC4" w:rsidRDefault="00A23259" w:rsidP="00903424">
      <w:pPr>
        <w:spacing w:after="0" w:line="240" w:lineRule="auto"/>
        <w:jc w:val="both"/>
        <w:rPr>
          <w:rFonts w:ascii="Times New Roman" w:hAnsi="Times New Roman"/>
          <w:i/>
          <w:sz w:val="24"/>
          <w:szCs w:val="24"/>
        </w:rPr>
      </w:pPr>
      <w:r w:rsidRPr="000C4BC4">
        <w:rPr>
          <w:rFonts w:ascii="Times New Roman" w:hAnsi="Times New Roman"/>
          <w:i/>
          <w:sz w:val="24"/>
          <w:szCs w:val="24"/>
        </w:rPr>
        <w:t>Огледи о популарном</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Аутор:</w:t>
      </w:r>
    </w:p>
    <w:p w:rsidR="00A23259" w:rsidRPr="000C4BC4" w:rsidRDefault="00A23259" w:rsidP="00903424">
      <w:pPr>
        <w:spacing w:after="0" w:line="240" w:lineRule="auto"/>
        <w:jc w:val="both"/>
        <w:rPr>
          <w:rFonts w:ascii="Times New Roman" w:hAnsi="Times New Roman"/>
          <w:i/>
          <w:sz w:val="24"/>
          <w:szCs w:val="24"/>
        </w:rPr>
      </w:pPr>
      <w:r w:rsidRPr="000C4BC4">
        <w:rPr>
          <w:rFonts w:ascii="Times New Roman" w:hAnsi="Times New Roman"/>
          <w:i/>
          <w:sz w:val="24"/>
          <w:szCs w:val="24"/>
        </w:rPr>
        <w:t>Никола Божиловић</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Издавач:</w:t>
      </w:r>
    </w:p>
    <w:p w:rsidR="00A23259" w:rsidRPr="000C4BC4" w:rsidRDefault="00A23259" w:rsidP="00903424">
      <w:pPr>
        <w:spacing w:after="0" w:line="240" w:lineRule="auto"/>
        <w:jc w:val="both"/>
        <w:rPr>
          <w:rFonts w:ascii="Times New Roman" w:hAnsi="Times New Roman"/>
          <w:i/>
          <w:sz w:val="24"/>
          <w:szCs w:val="24"/>
        </w:rPr>
      </w:pPr>
      <w:r w:rsidRPr="000C4BC4">
        <w:rPr>
          <w:rFonts w:ascii="Times New Roman" w:hAnsi="Times New Roman"/>
          <w:i/>
          <w:sz w:val="24"/>
          <w:szCs w:val="24"/>
        </w:rPr>
        <w:t>Филозофски факултет у Нишу</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Рецензент:</w:t>
      </w:r>
    </w:p>
    <w:p w:rsidR="00A23259" w:rsidRPr="005B59F7" w:rsidRDefault="00A23259" w:rsidP="00903424">
      <w:pPr>
        <w:spacing w:after="0" w:line="240" w:lineRule="auto"/>
        <w:jc w:val="both"/>
        <w:rPr>
          <w:rFonts w:ascii="Times New Roman" w:hAnsi="Times New Roman"/>
          <w:i/>
          <w:sz w:val="24"/>
          <w:szCs w:val="24"/>
        </w:rPr>
      </w:pPr>
      <w:r w:rsidRPr="005B59F7">
        <w:rPr>
          <w:rFonts w:ascii="Times New Roman" w:hAnsi="Times New Roman"/>
          <w:i/>
          <w:sz w:val="24"/>
          <w:szCs w:val="24"/>
        </w:rPr>
        <w:t>Драгољуб Б. Ђорђевић</w:t>
      </w:r>
    </w:p>
    <w:p w:rsidR="00A23259" w:rsidRDefault="00A23259" w:rsidP="00903424">
      <w:pPr>
        <w:spacing w:after="0" w:line="240" w:lineRule="auto"/>
        <w:jc w:val="both"/>
        <w:rPr>
          <w:rFonts w:ascii="Times New Roman" w:hAnsi="Times New Roman"/>
          <w:sz w:val="24"/>
          <w:szCs w:val="24"/>
        </w:rPr>
      </w:pPr>
    </w:p>
    <w:p w:rsidR="00A23259" w:rsidRDefault="00A23259" w:rsidP="00903424">
      <w:pPr>
        <w:spacing w:after="0" w:line="240" w:lineRule="auto"/>
        <w:jc w:val="both"/>
        <w:rPr>
          <w:rFonts w:ascii="Times New Roman" w:hAnsi="Times New Roman"/>
          <w:sz w:val="24"/>
          <w:szCs w:val="24"/>
        </w:rPr>
      </w:pPr>
    </w:p>
    <w:p w:rsidR="00A23259" w:rsidRPr="005B59F7" w:rsidRDefault="00A23259" w:rsidP="005B59F7">
      <w:pPr>
        <w:spacing w:after="0" w:line="240" w:lineRule="auto"/>
        <w:jc w:val="center"/>
        <w:rPr>
          <w:rFonts w:ascii="Times New Roman" w:hAnsi="Times New Roman"/>
          <w:b/>
          <w:sz w:val="24"/>
          <w:szCs w:val="24"/>
        </w:rPr>
      </w:pPr>
      <w:r w:rsidRPr="005B59F7">
        <w:rPr>
          <w:rFonts w:ascii="Times New Roman" w:hAnsi="Times New Roman"/>
          <w:b/>
          <w:sz w:val="24"/>
          <w:szCs w:val="24"/>
        </w:rPr>
        <w:t>Р Е Ц Е Н З И Ј А</w:t>
      </w:r>
    </w:p>
    <w:p w:rsidR="00A23259" w:rsidRDefault="00A23259" w:rsidP="00903424">
      <w:pPr>
        <w:spacing w:after="0" w:line="240" w:lineRule="auto"/>
        <w:jc w:val="both"/>
        <w:rPr>
          <w:rFonts w:ascii="Times New Roman" w:hAnsi="Times New Roman"/>
          <w:sz w:val="24"/>
          <w:szCs w:val="24"/>
        </w:rPr>
      </w:pPr>
    </w:p>
    <w:p w:rsidR="00A23259" w:rsidRPr="000C4BC4" w:rsidRDefault="00A23259" w:rsidP="00903424">
      <w:pPr>
        <w:spacing w:after="0" w:line="240" w:lineRule="auto"/>
        <w:jc w:val="both"/>
        <w:rPr>
          <w:rFonts w:ascii="Times New Roman" w:hAnsi="Times New Roman"/>
          <w:sz w:val="24"/>
          <w:szCs w:val="24"/>
        </w:rPr>
      </w:pPr>
    </w:p>
    <w:p w:rsidR="00A23259" w:rsidRPr="005B59F7"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t xml:space="preserve">Подносим са задовољством Наставно-научном већу Филозофског факултета Универзитета у Нишу стручну оцену о рукопису </w:t>
      </w:r>
      <w:r w:rsidRPr="00B534E2">
        <w:rPr>
          <w:rFonts w:ascii="Times New Roman" w:hAnsi="Times New Roman"/>
          <w:b/>
          <w:sz w:val="24"/>
          <w:szCs w:val="24"/>
        </w:rPr>
        <w:t>Огледи о популарном</w:t>
      </w:r>
      <w:r>
        <w:rPr>
          <w:rFonts w:ascii="Times New Roman" w:hAnsi="Times New Roman"/>
          <w:sz w:val="24"/>
          <w:szCs w:val="24"/>
        </w:rPr>
        <w:t xml:space="preserve">, аутора др Николе Божиловића, редовног професора. </w:t>
      </w:r>
    </w:p>
    <w:p w:rsidR="00A23259" w:rsidRPr="00DB7BBD"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t>Рукопис, који сам добио у електронском облику, има 98 страница стандардног компјутерског формата, писан је латиницом и откуцан single проредом. Као такав, он је спреман за следеће фазе прелома, припреме за штампу и само штампање.</w:t>
      </w:r>
    </w:p>
    <w:p w:rsidR="00A23259" w:rsidRPr="005B5B95" w:rsidRDefault="00A23259" w:rsidP="00C54DD4">
      <w:pPr>
        <w:spacing w:after="0" w:line="240" w:lineRule="auto"/>
        <w:jc w:val="both"/>
        <w:rPr>
          <w:rFonts w:ascii="Times New Roman" w:hAnsi="Times New Roman"/>
          <w:noProof/>
          <w:sz w:val="24"/>
          <w:szCs w:val="24"/>
          <w:lang w:val="sr-Cyrl-CS"/>
        </w:rPr>
      </w:pPr>
      <w:r>
        <w:rPr>
          <w:rFonts w:ascii="Times New Roman" w:hAnsi="Times New Roman"/>
          <w:sz w:val="24"/>
          <w:szCs w:val="24"/>
        </w:rPr>
        <w:tab/>
        <w:t xml:space="preserve">Материјал је, уз уобичајене тзв. инфраструктуралне елементе – </w:t>
      </w:r>
      <w:r>
        <w:rPr>
          <w:rFonts w:ascii="Times New Roman" w:hAnsi="Times New Roman"/>
          <w:noProof/>
          <w:sz w:val="24"/>
          <w:szCs w:val="24"/>
          <w:lang w:val="sr-Cyrl-CS"/>
        </w:rPr>
        <w:t>„Приступ</w:t>
      </w:r>
      <w:r w:rsidRPr="00C54DD4">
        <w:rPr>
          <w:rFonts w:ascii="Times New Roman" w:hAnsi="Times New Roman"/>
          <w:noProof/>
          <w:sz w:val="24"/>
          <w:szCs w:val="24"/>
          <w:lang w:val="sr-Cyrl-CS"/>
        </w:rPr>
        <w:t xml:space="preserve"> </w:t>
      </w:r>
      <w:r>
        <w:rPr>
          <w:rFonts w:ascii="Times New Roman" w:hAnsi="Times New Roman"/>
          <w:noProof/>
          <w:sz w:val="24"/>
          <w:szCs w:val="24"/>
          <w:lang w:val="sr-Cyrl-CS"/>
        </w:rPr>
        <w:t>проблему</w:t>
      </w:r>
      <w:r w:rsidRPr="00C54DD4">
        <w:rPr>
          <w:rFonts w:ascii="Times New Roman" w:hAnsi="Times New Roman"/>
          <w:noProof/>
          <w:sz w:val="24"/>
          <w:szCs w:val="24"/>
          <w:lang w:val="sr-Cyrl-CS"/>
        </w:rPr>
        <w:t xml:space="preserve">: </w:t>
      </w:r>
      <w:r>
        <w:rPr>
          <w:rFonts w:ascii="Times New Roman" w:hAnsi="Times New Roman"/>
          <w:noProof/>
          <w:sz w:val="24"/>
          <w:szCs w:val="24"/>
          <w:lang w:val="sr-Cyrl-CS"/>
        </w:rPr>
        <w:t>Значења</w:t>
      </w:r>
      <w:r w:rsidRPr="00C54DD4">
        <w:rPr>
          <w:rFonts w:ascii="Times New Roman" w:hAnsi="Times New Roman"/>
          <w:noProof/>
          <w:sz w:val="24"/>
          <w:szCs w:val="24"/>
          <w:lang w:val="sr-Cyrl-CS"/>
        </w:rPr>
        <w:t xml:space="preserve"> </w:t>
      </w:r>
      <w:r>
        <w:rPr>
          <w:rFonts w:ascii="Times New Roman" w:hAnsi="Times New Roman"/>
          <w:noProof/>
          <w:sz w:val="24"/>
          <w:szCs w:val="24"/>
          <w:lang w:val="sr-Cyrl-CS"/>
        </w:rPr>
        <w:t xml:space="preserve">популарног“ (Увод), </w:t>
      </w:r>
      <w:r>
        <w:rPr>
          <w:rFonts w:ascii="Times New Roman" w:hAnsi="Times New Roman"/>
          <w:sz w:val="24"/>
          <w:szCs w:val="24"/>
        </w:rPr>
        <w:t>„Summary“, „</w:t>
      </w:r>
      <w:r>
        <w:rPr>
          <w:rFonts w:ascii="Times New Roman" w:hAnsi="Times New Roman"/>
          <w:noProof/>
          <w:sz w:val="24"/>
          <w:szCs w:val="24"/>
          <w:lang w:val="sr-Cyrl-CS"/>
        </w:rPr>
        <w:t>Библиографија“</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„Регистар</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имена“</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„Белешка</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о</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текстовима“</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„Од</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истог</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аутора“ (у „Садржај“ није унета „Белешка</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о текстовима“, што треба исправити)</w:t>
      </w:r>
      <w:r w:rsidRPr="005B5B95">
        <w:rPr>
          <w:rFonts w:ascii="Times New Roman" w:hAnsi="Times New Roman"/>
          <w:noProof/>
          <w:sz w:val="24"/>
          <w:szCs w:val="24"/>
          <w:lang w:val="sr-Cyrl-CS"/>
        </w:rPr>
        <w:t xml:space="preserve">– </w:t>
      </w:r>
      <w:r>
        <w:rPr>
          <w:rFonts w:ascii="Times New Roman" w:hAnsi="Times New Roman"/>
          <w:noProof/>
          <w:sz w:val="24"/>
          <w:szCs w:val="24"/>
          <w:lang w:val="sr-Cyrl-CS"/>
        </w:rPr>
        <w:t>изложен у шест одељака:</w:t>
      </w:r>
    </w:p>
    <w:p w:rsidR="00A23259" w:rsidRDefault="00A23259" w:rsidP="005B5B95">
      <w:pPr>
        <w:spacing w:after="0" w:line="240" w:lineRule="auto"/>
        <w:jc w:val="both"/>
        <w:rPr>
          <w:rFonts w:ascii="Times New Roman" w:hAnsi="Times New Roman"/>
          <w:sz w:val="24"/>
          <w:szCs w:val="24"/>
        </w:rPr>
      </w:pPr>
    </w:p>
    <w:p w:rsidR="00A23259" w:rsidRPr="00C54DD4" w:rsidRDefault="00A23259" w:rsidP="00C54DD4">
      <w:pPr>
        <w:pStyle w:val="ListParagraph"/>
        <w:numPr>
          <w:ilvl w:val="0"/>
          <w:numId w:val="1"/>
        </w:numPr>
        <w:spacing w:after="0" w:line="240" w:lineRule="auto"/>
        <w:jc w:val="both"/>
        <w:rPr>
          <w:rFonts w:ascii="Times New Roman" w:hAnsi="Times New Roman"/>
          <w:noProof/>
          <w:sz w:val="24"/>
          <w:szCs w:val="24"/>
          <w:lang w:val="sr-Cyrl-CS"/>
        </w:rPr>
      </w:pPr>
      <w:r w:rsidRPr="00C54DD4">
        <w:rPr>
          <w:rFonts w:ascii="Times New Roman" w:hAnsi="Times New Roman"/>
          <w:noProof/>
          <w:sz w:val="24"/>
          <w:szCs w:val="24"/>
          <w:lang w:val="sr-Cyrl-CS"/>
        </w:rPr>
        <w:t>Глобализација културе и нови идентитетски обрасци</w:t>
      </w:r>
      <w:r>
        <w:rPr>
          <w:rFonts w:ascii="Times New Roman" w:hAnsi="Times New Roman"/>
          <w:noProof/>
          <w:sz w:val="24"/>
          <w:szCs w:val="24"/>
          <w:lang w:val="sr-Cyrl-CS"/>
        </w:rPr>
        <w:t>;</w:t>
      </w:r>
    </w:p>
    <w:p w:rsidR="00A23259" w:rsidRPr="00C54DD4" w:rsidRDefault="00A23259" w:rsidP="00C54DD4">
      <w:pPr>
        <w:pStyle w:val="ListParagraph"/>
        <w:numPr>
          <w:ilvl w:val="0"/>
          <w:numId w:val="1"/>
        </w:numPr>
        <w:spacing w:after="0" w:line="240" w:lineRule="auto"/>
        <w:jc w:val="both"/>
        <w:rPr>
          <w:rFonts w:ascii="Times New Roman" w:hAnsi="Times New Roman"/>
          <w:noProof/>
          <w:sz w:val="24"/>
          <w:szCs w:val="24"/>
          <w:lang w:val="sr-Cyrl-CS"/>
        </w:rPr>
      </w:pPr>
      <w:r w:rsidRPr="00C54DD4">
        <w:rPr>
          <w:rFonts w:ascii="Times New Roman" w:hAnsi="Times New Roman"/>
          <w:noProof/>
          <w:sz w:val="24"/>
          <w:szCs w:val="24"/>
          <w:lang w:val="sr-Cyrl-CS"/>
        </w:rPr>
        <w:t>Естетика популарног</w:t>
      </w:r>
      <w:r>
        <w:rPr>
          <w:rFonts w:ascii="Times New Roman" w:hAnsi="Times New Roman"/>
          <w:noProof/>
          <w:sz w:val="24"/>
          <w:szCs w:val="24"/>
          <w:lang w:val="sr-Cyrl-CS"/>
        </w:rPr>
        <w:t>;</w:t>
      </w:r>
    </w:p>
    <w:p w:rsidR="00A23259" w:rsidRPr="00C54DD4" w:rsidRDefault="00A23259" w:rsidP="00C54DD4">
      <w:pPr>
        <w:pStyle w:val="ListParagraph"/>
        <w:numPr>
          <w:ilvl w:val="0"/>
          <w:numId w:val="1"/>
        </w:numPr>
        <w:spacing w:after="0" w:line="240" w:lineRule="auto"/>
        <w:jc w:val="both"/>
        <w:rPr>
          <w:rFonts w:ascii="Times New Roman" w:hAnsi="Times New Roman"/>
          <w:noProof/>
          <w:sz w:val="24"/>
          <w:szCs w:val="24"/>
          <w:lang w:val="sr-Cyrl-CS"/>
        </w:rPr>
      </w:pPr>
      <w:r w:rsidRPr="00C54DD4">
        <w:rPr>
          <w:rFonts w:ascii="Times New Roman" w:hAnsi="Times New Roman"/>
          <w:noProof/>
          <w:sz w:val="24"/>
          <w:szCs w:val="24"/>
          <w:lang w:val="sr-Cyrl-CS"/>
        </w:rPr>
        <w:t>Комуникација популарног</w:t>
      </w:r>
      <w:r>
        <w:rPr>
          <w:rFonts w:ascii="Times New Roman" w:hAnsi="Times New Roman"/>
          <w:noProof/>
          <w:sz w:val="24"/>
          <w:szCs w:val="24"/>
          <w:lang w:val="sr-Cyrl-CS"/>
        </w:rPr>
        <w:t>;</w:t>
      </w:r>
    </w:p>
    <w:p w:rsidR="00A23259" w:rsidRPr="00C54DD4" w:rsidRDefault="00A23259" w:rsidP="00C54DD4">
      <w:pPr>
        <w:pStyle w:val="ListParagraph"/>
        <w:numPr>
          <w:ilvl w:val="0"/>
          <w:numId w:val="1"/>
        </w:numPr>
        <w:spacing w:after="0" w:line="240" w:lineRule="auto"/>
        <w:jc w:val="both"/>
        <w:rPr>
          <w:rFonts w:ascii="Times New Roman" w:hAnsi="Times New Roman"/>
          <w:noProof/>
          <w:sz w:val="24"/>
          <w:szCs w:val="24"/>
          <w:lang w:val="sr-Cyrl-CS"/>
        </w:rPr>
      </w:pPr>
      <w:r w:rsidRPr="00C54DD4">
        <w:rPr>
          <w:rFonts w:ascii="Times New Roman" w:hAnsi="Times New Roman"/>
          <w:noProof/>
          <w:sz w:val="24"/>
          <w:szCs w:val="24"/>
          <w:lang w:val="sr-Cyrl-CS"/>
        </w:rPr>
        <w:t>Публика популарног: Од Ека до Фиска</w:t>
      </w:r>
      <w:r>
        <w:rPr>
          <w:rFonts w:ascii="Times New Roman" w:hAnsi="Times New Roman"/>
          <w:noProof/>
          <w:sz w:val="24"/>
          <w:szCs w:val="24"/>
          <w:lang w:val="sr-Cyrl-CS"/>
        </w:rPr>
        <w:t>;</w:t>
      </w:r>
    </w:p>
    <w:p w:rsidR="00A23259" w:rsidRPr="00C54DD4" w:rsidRDefault="00A23259" w:rsidP="00C54DD4">
      <w:pPr>
        <w:pStyle w:val="ListParagraph"/>
        <w:numPr>
          <w:ilvl w:val="0"/>
          <w:numId w:val="1"/>
        </w:numPr>
        <w:spacing w:after="0" w:line="240" w:lineRule="auto"/>
        <w:jc w:val="both"/>
        <w:rPr>
          <w:rFonts w:ascii="Times New Roman" w:hAnsi="Times New Roman"/>
          <w:noProof/>
          <w:sz w:val="24"/>
          <w:szCs w:val="24"/>
          <w:lang w:val="sr-Cyrl-CS"/>
        </w:rPr>
      </w:pPr>
      <w:r w:rsidRPr="00C54DD4">
        <w:rPr>
          <w:rFonts w:ascii="Times New Roman" w:hAnsi="Times New Roman"/>
          <w:noProof/>
          <w:sz w:val="24"/>
          <w:szCs w:val="24"/>
          <w:lang w:val="sr-Cyrl-CS"/>
        </w:rPr>
        <w:t>Урбане поткултуре и музичке преференције: тедибоји и рокери</w:t>
      </w:r>
      <w:r>
        <w:rPr>
          <w:rFonts w:ascii="Times New Roman" w:hAnsi="Times New Roman"/>
          <w:noProof/>
          <w:sz w:val="24"/>
          <w:szCs w:val="24"/>
          <w:lang w:val="sr-Cyrl-CS"/>
        </w:rPr>
        <w:t>; и</w:t>
      </w:r>
    </w:p>
    <w:p w:rsidR="00A23259" w:rsidRPr="00C54DD4" w:rsidRDefault="00A23259" w:rsidP="00C54DD4">
      <w:pPr>
        <w:pStyle w:val="ListParagraph"/>
        <w:numPr>
          <w:ilvl w:val="0"/>
          <w:numId w:val="1"/>
        </w:numPr>
        <w:spacing w:after="0" w:line="240" w:lineRule="auto"/>
        <w:jc w:val="both"/>
        <w:rPr>
          <w:rFonts w:ascii="Times New Roman" w:hAnsi="Times New Roman"/>
          <w:sz w:val="24"/>
          <w:szCs w:val="24"/>
          <w:lang w:val="sr-Cyrl-CS"/>
        </w:rPr>
      </w:pPr>
      <w:r w:rsidRPr="00C54DD4">
        <w:rPr>
          <w:rFonts w:ascii="Times New Roman" w:hAnsi="Times New Roman"/>
          <w:noProof/>
          <w:sz w:val="24"/>
          <w:szCs w:val="24"/>
          <w:lang w:val="sr-Cyrl-CS"/>
        </w:rPr>
        <w:t>Антиномије југословенског рокенрола шездесетих</w:t>
      </w:r>
      <w:r>
        <w:rPr>
          <w:rFonts w:ascii="Times New Roman" w:hAnsi="Times New Roman"/>
          <w:noProof/>
          <w:sz w:val="24"/>
          <w:szCs w:val="24"/>
          <w:lang w:val="sr-Cyrl-CS"/>
        </w:rPr>
        <w:t>.</w:t>
      </w:r>
    </w:p>
    <w:p w:rsidR="00A23259" w:rsidRPr="005B5B95" w:rsidRDefault="00A23259" w:rsidP="005B5B95">
      <w:pPr>
        <w:spacing w:after="0" w:line="240" w:lineRule="auto"/>
        <w:rPr>
          <w:rFonts w:ascii="Times New Roman" w:hAnsi="Times New Roman"/>
          <w:sz w:val="24"/>
          <w:szCs w:val="24"/>
        </w:rPr>
      </w:pPr>
    </w:p>
    <w:p w:rsidR="00A23259" w:rsidRPr="00AD23EA"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t>Три поглавља, она под бројевима 1, 2 и 6, већ су као засебни чланци објављена у реномираним часописима, као што су „Култура“ и „Социолошки преглед“; преостала се први пут нуде јавности.</w:t>
      </w:r>
    </w:p>
    <w:p w:rsidR="00A23259" w:rsidRPr="000B5E35"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t xml:space="preserve">Писац, будући да је искусан социолог културе, своју продубљену анализу појава популарне културе темељи на одабраној и провереној књижевности, при чему, сасвим исправно, балансирано комбинује приносе старијих естетичара и културолога, попут Арнолда Хаузера, и савременијих ауторитета у тој области истраживања, као што су Умберто Еко и Џон Фиско. При томе професор Божиловић, што није распрострањен манир у домаћих социолога, врло коректно користи и доприносе наших аутора. Не робујући величинама, он веома често улази у критичку расправу са њима и долази до сопствених, оригиналних увида. Из те стваралачке комуникације роди се и по који „културолошки бисер“, са којим ће морати да рачуна и српска социологија културе, поготово онда када се бави рок културом и свим оним што је са њом повезано.   </w:t>
      </w:r>
    </w:p>
    <w:p w:rsidR="00A23259" w:rsidRPr="00EC1194" w:rsidRDefault="00A23259" w:rsidP="00EC1194">
      <w:pPr>
        <w:spacing w:after="0" w:line="240" w:lineRule="auto"/>
        <w:jc w:val="both"/>
        <w:rPr>
          <w:rFonts w:ascii="Times New Roman" w:hAnsi="Times New Roman"/>
          <w:sz w:val="24"/>
          <w:szCs w:val="24"/>
        </w:rPr>
      </w:pPr>
      <w:r>
        <w:rPr>
          <w:rFonts w:ascii="Times New Roman" w:hAnsi="Times New Roman"/>
          <w:sz w:val="24"/>
          <w:szCs w:val="24"/>
        </w:rPr>
        <w:tab/>
        <w:t xml:space="preserve">Доктор Божиловић који пут, држећи се својих већ познатих ставова изложених у претходним књигама – а неке од њих су доживеле и међународну промоцију – отворено се супротставља квазиинтелектуалним идејама у тумачењу популарне културе: </w:t>
      </w:r>
      <w:r w:rsidRPr="00736E5C">
        <w:rPr>
          <w:rFonts w:ascii="Times New Roman" w:hAnsi="Times New Roman"/>
          <w:noProof/>
          <w:color w:val="000000"/>
          <w:sz w:val="24"/>
          <w:szCs w:val="24"/>
          <w:lang w:val="sr-Cyrl-CS"/>
        </w:rPr>
        <w:t>„Ускогрудим националним приступима, аутори овог профила убијају у року оно што га генерише, а то је његова универзална, неспутана и космополитска природа. Методолошки гледано, приступ рокенролу не сме бити солипсистички, али се његова суштина, смисао и значај још мање могу разумети и објаснити квазиполитичким и национално егоистичним теоријама завере (стр. 77).“</w:t>
      </w:r>
      <w:r>
        <w:rPr>
          <w:rFonts w:ascii="Times New Roman" w:hAnsi="Times New Roman"/>
          <w:noProof/>
          <w:color w:val="000000"/>
          <w:sz w:val="24"/>
          <w:szCs w:val="24"/>
          <w:lang w:val="sr-Cyrl-CS"/>
        </w:rPr>
        <w:t xml:space="preserve"> Треба држати на уму да се ради о ауторима који су активни на политичкој сцени и у медијима – тзв. политички аналитичари – и који нажалост утичу на креирање и културних вредности.</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t>Писац је успео главним током анализе, и у рукавцима, да дâ целовиту социолошку слику популарне културе, почев од њеног одређења, преко разликовања од народне и масовне културе, до представљања њених изражајних видова. Требало би да после његове студије буде много тога јасније око популарне културе. Она би такође требало да одстрани грдне неспоразуме поводом популарне културе, који се најчешће јављају у широј јавности, али и у академској заједници.</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ab/>
      </w:r>
      <w:r w:rsidRPr="00714BD5">
        <w:rPr>
          <w:rFonts w:ascii="Times New Roman" w:hAnsi="Times New Roman"/>
          <w:i/>
          <w:sz w:val="24"/>
          <w:szCs w:val="24"/>
        </w:rPr>
        <w:t>Виско оцењујући рукопис</w:t>
      </w:r>
      <w:r>
        <w:rPr>
          <w:rFonts w:ascii="Times New Roman" w:hAnsi="Times New Roman"/>
          <w:sz w:val="24"/>
          <w:szCs w:val="24"/>
        </w:rPr>
        <w:t xml:space="preserve"> </w:t>
      </w:r>
      <w:r w:rsidRPr="00B534E2">
        <w:rPr>
          <w:rFonts w:ascii="Times New Roman" w:hAnsi="Times New Roman"/>
          <w:b/>
          <w:sz w:val="24"/>
          <w:szCs w:val="24"/>
        </w:rPr>
        <w:t>Огледи о популарном</w:t>
      </w:r>
      <w:r>
        <w:rPr>
          <w:rFonts w:ascii="Times New Roman" w:hAnsi="Times New Roman"/>
          <w:sz w:val="24"/>
          <w:szCs w:val="24"/>
        </w:rPr>
        <w:t xml:space="preserve"> </w:t>
      </w:r>
      <w:r w:rsidRPr="00714BD5">
        <w:rPr>
          <w:rFonts w:ascii="Times New Roman" w:hAnsi="Times New Roman"/>
          <w:i/>
          <w:sz w:val="24"/>
          <w:szCs w:val="24"/>
        </w:rPr>
        <w:t>и препоручујући га Филозофском факултету за објављивање</w:t>
      </w:r>
      <w:r>
        <w:rPr>
          <w:rFonts w:ascii="Times New Roman" w:hAnsi="Times New Roman"/>
          <w:sz w:val="24"/>
          <w:szCs w:val="24"/>
        </w:rPr>
        <w:t xml:space="preserve">, закључујем да се ради о социолошком штиву које још једном потврђује чињеницу која говори о томе да Никола Божиловић припада врху српских социолога културе, док у домену популарне културе (рок културе засебно) јесте на самом врху.   </w:t>
      </w:r>
    </w:p>
    <w:p w:rsidR="00A23259" w:rsidRDefault="00A23259" w:rsidP="00903424">
      <w:pPr>
        <w:spacing w:after="0" w:line="240" w:lineRule="auto"/>
        <w:jc w:val="both"/>
        <w:rPr>
          <w:rFonts w:ascii="Times New Roman" w:hAnsi="Times New Roman"/>
          <w:sz w:val="24"/>
          <w:szCs w:val="24"/>
        </w:rPr>
      </w:pP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У Нишу, 5. октобар 2015.     др Драгољуб Б. Ђорђевић, ред. проф. социологије културе</w:t>
      </w:r>
    </w:p>
    <w:p w:rsidR="00A23259" w:rsidRDefault="00A23259" w:rsidP="00903424">
      <w:pPr>
        <w:spacing w:after="0" w:line="240" w:lineRule="auto"/>
        <w:jc w:val="both"/>
        <w:rPr>
          <w:rFonts w:ascii="Times New Roman" w:hAnsi="Times New Roman"/>
          <w:sz w:val="24"/>
          <w:szCs w:val="24"/>
        </w:rPr>
      </w:pPr>
      <w:r>
        <w:rPr>
          <w:rFonts w:ascii="Times New Roman" w:hAnsi="Times New Roman"/>
          <w:sz w:val="24"/>
          <w:szCs w:val="24"/>
        </w:rPr>
        <w:t xml:space="preserve">                                                            Машинског факултета Универзитета у Нишу</w:t>
      </w:r>
    </w:p>
    <w:p w:rsidR="00A23259" w:rsidRDefault="00A23259" w:rsidP="00903424">
      <w:pPr>
        <w:spacing w:after="0" w:line="240" w:lineRule="auto"/>
        <w:jc w:val="both"/>
        <w:rPr>
          <w:rFonts w:ascii="Times New Roman" w:hAnsi="Times New Roman"/>
          <w:sz w:val="24"/>
          <w:szCs w:val="24"/>
        </w:rPr>
      </w:pPr>
    </w:p>
    <w:p w:rsidR="00A23259" w:rsidRPr="00C54DD4" w:rsidRDefault="00A23259" w:rsidP="00903424">
      <w:pPr>
        <w:spacing w:after="0" w:line="240" w:lineRule="auto"/>
        <w:jc w:val="both"/>
        <w:rPr>
          <w:rFonts w:ascii="Times New Roman" w:hAnsi="Times New Roman"/>
          <w:sz w:val="24"/>
          <w:szCs w:val="24"/>
        </w:rPr>
      </w:pPr>
    </w:p>
    <w:sectPr w:rsidR="00A23259" w:rsidRPr="00C54DD4" w:rsidSect="004C2F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E7645"/>
    <w:multiLevelType w:val="hybridMultilevel"/>
    <w:tmpl w:val="F944567C"/>
    <w:lvl w:ilvl="0" w:tplc="081A000F">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3424"/>
    <w:rsid w:val="00086C66"/>
    <w:rsid w:val="000B5E35"/>
    <w:rsid w:val="000C4BC4"/>
    <w:rsid w:val="0028111B"/>
    <w:rsid w:val="002C2FAC"/>
    <w:rsid w:val="002F1E1D"/>
    <w:rsid w:val="003922A2"/>
    <w:rsid w:val="00416903"/>
    <w:rsid w:val="00457F2B"/>
    <w:rsid w:val="004C2F7D"/>
    <w:rsid w:val="00582087"/>
    <w:rsid w:val="005B59F7"/>
    <w:rsid w:val="005B5B95"/>
    <w:rsid w:val="00693AE2"/>
    <w:rsid w:val="006B01D9"/>
    <w:rsid w:val="00714BD5"/>
    <w:rsid w:val="00736E5C"/>
    <w:rsid w:val="007538AD"/>
    <w:rsid w:val="008B27E3"/>
    <w:rsid w:val="008D4D94"/>
    <w:rsid w:val="00903424"/>
    <w:rsid w:val="00905086"/>
    <w:rsid w:val="00A23259"/>
    <w:rsid w:val="00AD23EA"/>
    <w:rsid w:val="00B534E2"/>
    <w:rsid w:val="00BE2531"/>
    <w:rsid w:val="00C54DD4"/>
    <w:rsid w:val="00C6210A"/>
    <w:rsid w:val="00D35B18"/>
    <w:rsid w:val="00DB7BBD"/>
    <w:rsid w:val="00EA6F53"/>
    <w:rsid w:val="00EC1194"/>
    <w:rsid w:val="00F653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F7D"/>
    <w:pPr>
      <w:spacing w:after="200" w:line="276" w:lineRule="auto"/>
    </w:pPr>
    <w:rPr>
      <w:lang w:val="sr-Latn-CS" w:eastAsia="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54D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572</Words>
  <Characters>3267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Рукопис:</dc:title>
  <dc:subject/>
  <dc:creator>brkab</dc:creator>
  <cp:keywords/>
  <dc:description/>
  <cp:lastModifiedBy>rc</cp:lastModifiedBy>
  <cp:revision>2</cp:revision>
  <dcterms:created xsi:type="dcterms:W3CDTF">2015-10-05T06:19:00Z</dcterms:created>
  <dcterms:modified xsi:type="dcterms:W3CDTF">2015-10-05T06:19:00Z</dcterms:modified>
</cp:coreProperties>
</file>