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1A5E2" w14:textId="77777777" w:rsidR="00C843F9" w:rsidRDefault="00000000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W w:w="1010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3147"/>
        <w:gridCol w:w="1960"/>
        <w:gridCol w:w="1175"/>
        <w:gridCol w:w="2047"/>
        <w:gridCol w:w="1774"/>
      </w:tblGrid>
      <w:tr w:rsidR="00C843F9" w14:paraId="7E5B3FB3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75917E" w14:textId="77777777" w:rsidR="00C843F9" w:rsidRDefault="00000000">
            <w:pPr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>Студијски програм : Мастер академске студије психологије</w:t>
            </w:r>
          </w:p>
        </w:tc>
      </w:tr>
      <w:tr w:rsidR="00C843F9" w14:paraId="73CAC0D7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A7A753" w14:textId="77777777" w:rsidR="00C843F9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Клиничко-социјална психологија</w:t>
            </w:r>
          </w:p>
        </w:tc>
      </w:tr>
      <w:tr w:rsidR="00C843F9" w14:paraId="07208A8E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54DFF5" w14:textId="77777777" w:rsidR="00C843F9" w:rsidRDefault="00000000">
            <w:pPr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>Наставник/наставници: Миљана Спасић Шнеле</w:t>
            </w:r>
          </w:p>
        </w:tc>
      </w:tr>
      <w:tr w:rsidR="00C843F9" w14:paraId="179BCF07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70272E" w14:textId="77777777" w:rsidR="00C843F9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</w:t>
            </w:r>
            <w:r>
              <w:t xml:space="preserve"> </w:t>
            </w:r>
            <w:r>
              <w:rPr>
                <w:b/>
              </w:rPr>
              <w:t>Oбавезни за модул Клиничка психологија</w:t>
            </w:r>
          </w:p>
        </w:tc>
      </w:tr>
      <w:tr w:rsidR="00C843F9" w14:paraId="7E809848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6205AD" w14:textId="77777777" w:rsidR="00C843F9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5</w:t>
            </w:r>
          </w:p>
        </w:tc>
      </w:tr>
      <w:tr w:rsidR="00C843F9" w14:paraId="274BE557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5F0B94" w14:textId="77777777" w:rsidR="00C843F9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</w:p>
        </w:tc>
      </w:tr>
      <w:tr w:rsidR="00C843F9" w14:paraId="7D385A99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A9F367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Циљ предмета</w:t>
            </w:r>
          </w:p>
          <w:p w14:paraId="03EB841F" w14:textId="77777777" w:rsidR="00C843F9" w:rsidRDefault="00000000">
            <w:pPr>
              <w:tabs>
                <w:tab w:val="left" w:pos="567"/>
              </w:tabs>
              <w:spacing w:after="6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Упознавање студената са интеракцијом психолошких и социјалних фактора који угрожавају ментално здравље као и основним принципима превентивних и интервентних приступа у успостављању, одржавању и промоцији менталног здравља у заједници; упознавање са карактеристикама вулнерабилних група; упознавање са психолошким аспектима несреће, трауме болести и губитка, избелиштва и миграција, насиља</w:t>
            </w:r>
            <w:r w:rsidRPr="00E144A3">
              <w:t xml:space="preserve">, неплодности и другим трауматским ситуацијама.  </w:t>
            </w:r>
          </w:p>
        </w:tc>
      </w:tr>
      <w:tr w:rsidR="00C843F9" w14:paraId="422A38C0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F88867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Исход предмета </w:t>
            </w:r>
          </w:p>
          <w:p w14:paraId="5A95DC1D" w14:textId="77777777" w:rsidR="00C843F9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Од студената се очекује да стекну увид у интеракцију психолошких и социјалних фактора и њен значај у планирању и реализовању превентивних програма од значаја за ментално здравље у различитим сегментима заједнице; да разуме потешкоће вулнерабилних група и превентивно дела у циљу умањења ефеката ризико фактора; да разуме психолошке аспекте несрећа, трауме болести и губитка, избелиштва и миграција, насиља, неплодности и других трауматских ситуација; да буде способан да у ситуацијама несреће, губитка, насиља и других трауматских ситуација заштити ментално здравље непосредних и посредних жртава трауматских догађаја; да буде способан да заштити сопствено ментално здравље у ситуацијама које представљају ризик за викаријску трауму, хронични стрес и синдром изгарања.</w:t>
            </w:r>
          </w:p>
        </w:tc>
      </w:tr>
      <w:tr w:rsidR="00C843F9" w14:paraId="08392E2D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CFED06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Садржај предмета</w:t>
            </w:r>
          </w:p>
          <w:p w14:paraId="0BC4DFC4" w14:textId="77777777" w:rsidR="00C843F9" w:rsidRDefault="00000000">
            <w:pPr>
              <w:tabs>
                <w:tab w:val="left" w:pos="567"/>
              </w:tabs>
              <w:spacing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Теоријска настава</w:t>
            </w:r>
          </w:p>
          <w:p w14:paraId="1AC91ADA" w14:textId="77777777" w:rsidR="00C843F9" w:rsidRDefault="00000000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Клиничко-социјална психологија - предмет, циљеви, историјат </w:t>
            </w:r>
          </w:p>
          <w:p w14:paraId="3017DCF6" w14:textId="77777777" w:rsidR="00C843F9" w:rsidRDefault="00000000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Превентивна оријентација у психологији </w:t>
            </w:r>
          </w:p>
          <w:p w14:paraId="1E8492F3" w14:textId="77777777" w:rsidR="00C843F9" w:rsidRDefault="00000000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Свеобухватна заштита менталног здравља, концепт заштите и унапређења менталног здравља у заједници</w:t>
            </w:r>
          </w:p>
          <w:p w14:paraId="5F0635FD" w14:textId="77777777" w:rsidR="00C843F9" w:rsidRDefault="00000000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Теоријске основе и принципи клиничко-социјалне психологије</w:t>
            </w:r>
          </w:p>
          <w:p w14:paraId="0C521037" w14:textId="77777777" w:rsidR="00C843F9" w:rsidRDefault="00000000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Несреће и психолошки концепти повезани са несрећама</w:t>
            </w:r>
          </w:p>
          <w:p w14:paraId="4344D7A3" w14:textId="77777777" w:rsidR="00C843F9" w:rsidRDefault="00000000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Кризне интервенције</w:t>
            </w:r>
          </w:p>
          <w:p w14:paraId="431150E5" w14:textId="77777777" w:rsidR="00C843F9" w:rsidRPr="00E144A3" w:rsidRDefault="00000000">
            <w:pPr>
              <w:numPr>
                <w:ilvl w:val="0"/>
                <w:numId w:val="1"/>
              </w:numPr>
              <w:jc w:val="both"/>
            </w:pPr>
            <w:r w:rsidRPr="00E144A3">
              <w:t>Вулнерабилне категорије особа у кризи (стари, усамљени, психички оболели)</w:t>
            </w:r>
          </w:p>
          <w:p w14:paraId="0A594261" w14:textId="77777777" w:rsidR="00C843F9" w:rsidRPr="00E144A3" w:rsidRDefault="00000000">
            <w:pPr>
              <w:numPr>
                <w:ilvl w:val="0"/>
                <w:numId w:val="1"/>
              </w:numPr>
              <w:jc w:val="both"/>
            </w:pPr>
            <w:r w:rsidRPr="00E144A3">
              <w:t>Траума болести и губитка</w:t>
            </w:r>
          </w:p>
          <w:p w14:paraId="1D5426E8" w14:textId="77777777" w:rsidR="00C843F9" w:rsidRPr="00E144A3" w:rsidRDefault="00000000">
            <w:pPr>
              <w:numPr>
                <w:ilvl w:val="0"/>
                <w:numId w:val="1"/>
              </w:numPr>
              <w:jc w:val="both"/>
            </w:pPr>
            <w:r w:rsidRPr="00E144A3">
              <w:t>Психолошк</w:t>
            </w:r>
            <w:r w:rsidRPr="00E144A3">
              <w:rPr>
                <w:lang w:val="en-US"/>
              </w:rPr>
              <w:t xml:space="preserve">a </w:t>
            </w:r>
            <w:r w:rsidRPr="00E144A3">
              <w:t>реакција на неплодност</w:t>
            </w:r>
          </w:p>
          <w:p w14:paraId="40655771" w14:textId="77777777" w:rsidR="00C843F9" w:rsidRPr="00E144A3" w:rsidRDefault="00000000">
            <w:pPr>
              <w:numPr>
                <w:ilvl w:val="0"/>
                <w:numId w:val="1"/>
              </w:numPr>
              <w:jc w:val="both"/>
            </w:pPr>
            <w:r w:rsidRPr="00E144A3">
              <w:t>Траума избеглиштва и миграција</w:t>
            </w:r>
          </w:p>
          <w:p w14:paraId="0AD856A2" w14:textId="77777777" w:rsidR="00C843F9" w:rsidRPr="00E144A3" w:rsidRDefault="00000000">
            <w:pPr>
              <w:numPr>
                <w:ilvl w:val="0"/>
                <w:numId w:val="1"/>
              </w:numPr>
              <w:jc w:val="both"/>
            </w:pPr>
            <w:r w:rsidRPr="00E144A3">
              <w:t>Насиље као траума</w:t>
            </w:r>
          </w:p>
          <w:p w14:paraId="28802A64" w14:textId="77777777" w:rsidR="00C843F9" w:rsidRPr="00E144A3" w:rsidRDefault="00000000">
            <w:pPr>
              <w:numPr>
                <w:ilvl w:val="0"/>
                <w:numId w:val="1"/>
              </w:numPr>
              <w:jc w:val="both"/>
            </w:pPr>
            <w:r w:rsidRPr="00E144A3">
              <w:t>Непрофесионалци и психолошка помоћ у кризи</w:t>
            </w:r>
          </w:p>
          <w:p w14:paraId="57E7183E" w14:textId="77777777" w:rsidR="00C843F9" w:rsidRPr="00E144A3" w:rsidRDefault="00000000">
            <w:pPr>
              <w:numPr>
                <w:ilvl w:val="0"/>
                <w:numId w:val="1"/>
              </w:numPr>
              <w:jc w:val="both"/>
            </w:pPr>
            <w:r w:rsidRPr="00E144A3">
              <w:t>Помоћ помагачима у кризним ситуацијама</w:t>
            </w:r>
          </w:p>
          <w:p w14:paraId="5799DB2A" w14:textId="77777777" w:rsidR="00C843F9" w:rsidRDefault="00C843F9">
            <w:pPr>
              <w:tabs>
                <w:tab w:val="left" w:pos="567"/>
              </w:tabs>
              <w:spacing w:after="60"/>
              <w:rPr>
                <w:i/>
                <w:color w:val="000000"/>
              </w:rPr>
            </w:pPr>
          </w:p>
          <w:p w14:paraId="4479AF87" w14:textId="77777777" w:rsidR="00C843F9" w:rsidRDefault="00000000">
            <w:pPr>
              <w:tabs>
                <w:tab w:val="left" w:pos="567"/>
              </w:tabs>
              <w:spacing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Практична настава </w:t>
            </w:r>
          </w:p>
          <w:p w14:paraId="0B4F9CA5" w14:textId="77777777" w:rsidR="00C843F9" w:rsidRDefault="00000000">
            <w:pPr>
              <w:tabs>
                <w:tab w:val="left" w:pos="567"/>
              </w:tabs>
              <w:spacing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 вежбама ће се анализирати  садржаји који илуструју принцип </w:t>
            </w:r>
            <w:r>
              <w:rPr>
                <w:i/>
                <w:color w:val="000000"/>
              </w:rPr>
              <w:t>особа у контексту</w:t>
            </w:r>
            <w:r>
              <w:rPr>
                <w:color w:val="000000"/>
              </w:rPr>
              <w:t xml:space="preserve"> а чији је циљ унапређење квалитета живота људи. Такође, у групама студенти ће радити семинарски рад у оквиру кога ће осмислити, израдити и презентовати превентивне планове акција који ће бити усмерени на деловање у заједници, односно осмислити, реализовати и презентовати истраживање у складу са садржајем предмета. Такође, у оквиру вежби планира се и гостовање стручњака практичара или посете институцијама/организацијама које су усмерене на рад са вулнерабилним групама. </w:t>
            </w:r>
          </w:p>
        </w:tc>
      </w:tr>
      <w:tr w:rsidR="00C843F9" w14:paraId="11F6FC63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AD2BB9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Литература </w:t>
            </w:r>
          </w:p>
          <w:p w14:paraId="52731499" w14:textId="77777777" w:rsidR="00C843F9" w:rsidRDefault="0000000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Влајковић, Ј. (2009). </w:t>
            </w:r>
            <w:r>
              <w:rPr>
                <w:i/>
                <w:color w:val="000000" w:themeColor="text1"/>
              </w:rPr>
              <w:t xml:space="preserve">Од жртве до преживелог- помоћ у  психолошким несрећама. </w:t>
            </w:r>
            <w:r>
              <w:rPr>
                <w:color w:val="000000" w:themeColor="text1"/>
              </w:rPr>
              <w:t>ИП „Жарко Албуљ“. (13-169)</w:t>
            </w:r>
          </w:p>
          <w:p w14:paraId="23EA1ADC" w14:textId="77777777" w:rsidR="00C843F9" w:rsidRDefault="00000000">
            <w:pPr>
              <w:rPr>
                <w:rFonts w:eastAsia="Noto Sans Symbols"/>
                <w:color w:val="000000" w:themeColor="text1"/>
              </w:rPr>
            </w:pPr>
            <w:r>
              <w:rPr>
                <w:color w:val="000000" w:themeColor="text1"/>
              </w:rPr>
              <w:t xml:space="preserve">Арамбашић, Л. (2000). </w:t>
            </w:r>
            <w:r>
              <w:rPr>
                <w:i/>
                <w:color w:val="000000" w:themeColor="text1"/>
              </w:rPr>
              <w:t>Психолошке кризне интервенције: психолошка помоћ након кризних догађаја.</w:t>
            </w:r>
            <w:r>
              <w:rPr>
                <w:color w:val="000000" w:themeColor="text1"/>
              </w:rPr>
              <w:t xml:space="preserve"> Друштво за психолошку помоћ. (33-84)</w:t>
            </w:r>
            <w:r>
              <w:rPr>
                <w:rFonts w:eastAsia="Noto Sans Symbols"/>
                <w:color w:val="000000" w:themeColor="text1"/>
              </w:rPr>
              <w:t xml:space="preserve"> </w:t>
            </w:r>
          </w:p>
          <w:p w14:paraId="67152543" w14:textId="77777777" w:rsidR="00C843F9" w:rsidRDefault="00000000">
            <w:pPr>
              <w:rPr>
                <w:rFonts w:eastAsia="Noto Sans Symbols"/>
                <w:color w:val="000000" w:themeColor="text1"/>
              </w:rPr>
            </w:pPr>
            <w:r>
              <w:rPr>
                <w:rFonts w:eastAsia="Noto Sans Symbols"/>
                <w:color w:val="000000" w:themeColor="text1"/>
              </w:rPr>
              <w:t xml:space="preserve">Митровић, М., Опсеница-Костић, Ј. и Јестровић Енсер, Ј. </w:t>
            </w:r>
            <w:r>
              <w:rPr>
                <w:rFonts w:eastAsia="Noto Sans Symbols"/>
                <w:i/>
                <w:iCs/>
                <w:color w:val="000000" w:themeColor="text1"/>
              </w:rPr>
              <w:t>Када рода неће да слети – психолошки аспекти неплодности.</w:t>
            </w:r>
            <w:r>
              <w:rPr>
                <w:rFonts w:eastAsia="Noto Sans Symbols"/>
                <w:color w:val="000000" w:themeColor="text1"/>
              </w:rPr>
              <w:t xml:space="preserve"> Филозофски факултет у Нишу. (101-124)</w:t>
            </w:r>
          </w:p>
          <w:p w14:paraId="31437626" w14:textId="77777777" w:rsidR="00C843F9" w:rsidRDefault="00C843F9">
            <w:pPr>
              <w:rPr>
                <w:rFonts w:ascii="Noto Sans Symbols" w:eastAsia="Noto Sans Symbols" w:hAnsi="Noto Sans Symbols" w:cs="Noto Sans Symbols"/>
                <w:color w:val="000000"/>
              </w:rPr>
            </w:pPr>
          </w:p>
          <w:p w14:paraId="04185E7C" w14:textId="77777777" w:rsidR="00C843F9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Додатна литература</w:t>
            </w:r>
          </w:p>
          <w:p w14:paraId="35ED63E2" w14:textId="77777777" w:rsidR="00C843F9" w:rsidRDefault="00C843F9">
            <w:pPr>
              <w:rPr>
                <w:color w:val="000000"/>
              </w:rPr>
            </w:pPr>
          </w:p>
          <w:p w14:paraId="6F1DAEB7" w14:textId="77777777" w:rsidR="00C843F9" w:rsidRDefault="00000000">
            <w:pPr>
              <w:rPr>
                <w:color w:val="000000" w:themeColor="text1"/>
              </w:rPr>
            </w:pPr>
            <w:r>
              <w:rPr>
                <w:color w:val="000000"/>
              </w:rPr>
              <w:t xml:space="preserve">Арамбашић, Л. (2000). </w:t>
            </w:r>
            <w:r>
              <w:rPr>
                <w:i/>
                <w:color w:val="000000"/>
              </w:rPr>
              <w:t>Психолошке кризне интервенције: психолошка помоћ након кризних догађаја.</w:t>
            </w:r>
            <w:r>
              <w:rPr>
                <w:color w:val="000000"/>
              </w:rPr>
              <w:t xml:space="preserve"> Друштво за </w:t>
            </w:r>
            <w:r>
              <w:rPr>
                <w:color w:val="000000" w:themeColor="text1"/>
              </w:rPr>
              <w:t>психолошку помоћ. (93-119)</w:t>
            </w:r>
          </w:p>
          <w:p w14:paraId="60C4859C" w14:textId="77777777" w:rsidR="00C843F9" w:rsidRDefault="0000000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Мировић, Т. и Томашевић, М. (2019). </w:t>
            </w:r>
            <w:r>
              <w:rPr>
                <w:i/>
                <w:color w:val="000000" w:themeColor="text1"/>
              </w:rPr>
              <w:t>Траума – наша прича.</w:t>
            </w:r>
            <w:r>
              <w:rPr>
                <w:color w:val="000000" w:themeColor="text1"/>
              </w:rPr>
              <w:t xml:space="preserve"> Центар за схема терапију. (79-148, 166-181)</w:t>
            </w:r>
          </w:p>
          <w:p w14:paraId="6E46977F" w14:textId="77777777" w:rsidR="00C843F9" w:rsidRDefault="00000000">
            <w:pPr>
              <w:rPr>
                <w:rFonts w:eastAsia="Noto Sans Symbols"/>
                <w:color w:val="000000" w:themeColor="text1"/>
              </w:rPr>
            </w:pPr>
            <w:r>
              <w:rPr>
                <w:rFonts w:eastAsia="Noto Sans Symbols"/>
                <w:color w:val="000000" w:themeColor="text1"/>
              </w:rPr>
              <w:t xml:space="preserve">Митровић, М., Опсеница-Костић, Ј. и Јестровић Енсер, Ј. </w:t>
            </w:r>
            <w:r>
              <w:rPr>
                <w:rFonts w:eastAsia="Noto Sans Symbols"/>
                <w:i/>
                <w:iCs/>
                <w:color w:val="000000" w:themeColor="text1"/>
              </w:rPr>
              <w:t>Када рода неће да слети – психолошки аспекти неплодности.</w:t>
            </w:r>
            <w:r>
              <w:rPr>
                <w:rFonts w:eastAsia="Noto Sans Symbols"/>
                <w:color w:val="000000" w:themeColor="text1"/>
              </w:rPr>
              <w:t xml:space="preserve"> Филозофски факултет у Нишу.  (125-265)</w:t>
            </w:r>
          </w:p>
          <w:p w14:paraId="252EDD92" w14:textId="77777777" w:rsidR="00C843F9" w:rsidRDefault="00C843F9">
            <w:pPr>
              <w:rPr>
                <w:color w:val="000000"/>
                <w:sz w:val="24"/>
                <w:szCs w:val="24"/>
              </w:rPr>
            </w:pPr>
          </w:p>
        </w:tc>
      </w:tr>
      <w:tr w:rsidR="00C843F9" w14:paraId="1B59DF7E" w14:textId="77777777" w:rsidTr="008C7EA9">
        <w:trPr>
          <w:trHeight w:val="227"/>
          <w:jc w:val="center"/>
        </w:trPr>
        <w:tc>
          <w:tcPr>
            <w:tcW w:w="3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3D2D58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015879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ABC2B8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Практична настава: 2</w:t>
            </w:r>
          </w:p>
        </w:tc>
      </w:tr>
      <w:tr w:rsidR="00C843F9" w14:paraId="34C6618E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DFA5A9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5BE329C5" w14:textId="77777777" w:rsidR="00C843F9" w:rsidRDefault="00000000">
            <w:pPr>
              <w:tabs>
                <w:tab w:val="left" w:pos="567"/>
              </w:tabs>
              <w:spacing w:after="60"/>
            </w:pPr>
            <w:r>
              <w:t xml:space="preserve">Интерактивна настава, дискусионе групе, групни рад.  </w:t>
            </w:r>
          </w:p>
        </w:tc>
      </w:tr>
      <w:tr w:rsidR="00C843F9" w14:paraId="4897F1FF" w14:textId="77777777" w:rsidTr="008C7EA9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994925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C843F9" w14:paraId="4821A506" w14:textId="77777777" w:rsidTr="008C7EA9">
        <w:trPr>
          <w:trHeight w:val="227"/>
          <w:jc w:val="center"/>
        </w:trPr>
        <w:tc>
          <w:tcPr>
            <w:tcW w:w="3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2BB083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1F4226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  <w:tc>
          <w:tcPr>
            <w:tcW w:w="32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3953E4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54327C" w14:textId="77777777" w:rsidR="00C843F9" w:rsidRDefault="00000000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</w:tr>
      <w:tr w:rsidR="008C7EA9" w14:paraId="3D1BB297" w14:textId="77777777" w:rsidTr="008C7EA9">
        <w:trPr>
          <w:trHeight w:val="227"/>
          <w:jc w:val="center"/>
        </w:trPr>
        <w:tc>
          <w:tcPr>
            <w:tcW w:w="3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33784A" w14:textId="3D06D286" w:rsidR="008C7EA9" w:rsidRPr="008C7EA9" w:rsidRDefault="008C7EA9" w:rsidP="008C7EA9">
            <w:pPr>
              <w:tabs>
                <w:tab w:val="left" w:pos="567"/>
              </w:tabs>
              <w:spacing w:after="60"/>
              <w:rPr>
                <w:bCs/>
                <w:lang w:val="sr-Cyrl-RS"/>
              </w:rPr>
            </w:pPr>
            <w:r w:rsidRPr="008C7EA9">
              <w:rPr>
                <w:bCs/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9AB35C" w14:textId="7851F4B2" w:rsidR="008C7EA9" w:rsidRPr="00CB0635" w:rsidRDefault="008C7EA9" w:rsidP="008C7EA9">
            <w:pPr>
              <w:tabs>
                <w:tab w:val="left" w:pos="567"/>
              </w:tabs>
              <w:spacing w:after="60"/>
              <w:rPr>
                <w:b/>
                <w:bCs/>
                <w:color w:val="FF0000"/>
                <w:lang w:val="sr-Cyrl-RS"/>
              </w:rPr>
            </w:pPr>
            <w:r w:rsidRPr="00CB0635">
              <w:rPr>
                <w:b/>
                <w:bCs/>
                <w:color w:val="FF0000"/>
                <w:lang w:val="sr-Cyrl-RS"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DF894C" w14:textId="6B850D5A" w:rsidR="008C7EA9" w:rsidRDefault="008C7EA9" w:rsidP="008C7EA9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lang w:val="sr-Cyrl-RS"/>
              </w:rPr>
              <w:t>Писмени и</w:t>
            </w:r>
            <w:r>
              <w:t>спит</w:t>
            </w:r>
          </w:p>
        </w:tc>
        <w:tc>
          <w:tcPr>
            <w:tcW w:w="1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A2D6E9" w14:textId="6A5E32D3" w:rsidR="008C7EA9" w:rsidRDefault="008C7EA9" w:rsidP="008C7EA9">
            <w:pPr>
              <w:tabs>
                <w:tab w:val="left" w:pos="567"/>
              </w:tabs>
              <w:spacing w:after="60"/>
            </w:pPr>
            <w:r w:rsidRPr="00CB0635">
              <w:rPr>
                <w:i/>
                <w:color w:val="FF0000"/>
                <w:lang w:val="sr-Cyrl-RS"/>
              </w:rPr>
              <w:t>35</w:t>
            </w:r>
          </w:p>
        </w:tc>
      </w:tr>
      <w:tr w:rsidR="008C7EA9" w14:paraId="2EBD8A00" w14:textId="77777777" w:rsidTr="008C7EA9">
        <w:trPr>
          <w:trHeight w:val="227"/>
          <w:jc w:val="center"/>
        </w:trPr>
        <w:tc>
          <w:tcPr>
            <w:tcW w:w="3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C4B92F" w14:textId="7D7639BE" w:rsidR="008C7EA9" w:rsidRPr="00E144A3" w:rsidRDefault="008C7EA9" w:rsidP="008C7EA9">
            <w:pPr>
              <w:tabs>
                <w:tab w:val="left" w:pos="567"/>
              </w:tabs>
              <w:spacing w:after="60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Колоквијум 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013065" w14:textId="569BBD87" w:rsidR="008C7EA9" w:rsidRPr="00CB0635" w:rsidRDefault="008C7EA9" w:rsidP="008C7EA9">
            <w:pPr>
              <w:tabs>
                <w:tab w:val="left" w:pos="567"/>
              </w:tabs>
              <w:spacing w:after="60"/>
              <w:rPr>
                <w:b/>
                <w:color w:val="FF0000"/>
                <w:lang w:val="sr-Cyrl-RS"/>
              </w:rPr>
            </w:pPr>
            <w:r w:rsidRPr="00CB0635">
              <w:rPr>
                <w:b/>
                <w:color w:val="FF0000"/>
                <w:lang w:val="sr-Cyrl-RS"/>
              </w:rPr>
              <w:t>30</w:t>
            </w:r>
          </w:p>
        </w:tc>
        <w:tc>
          <w:tcPr>
            <w:tcW w:w="32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AA50E2" w14:textId="758C2CEA" w:rsidR="008C7EA9" w:rsidRDefault="008C7EA9" w:rsidP="008C7EA9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EDBECD" w14:textId="52FE017E" w:rsidR="008C7EA9" w:rsidRPr="00E144A3" w:rsidRDefault="008C7EA9" w:rsidP="008C7EA9">
            <w:pPr>
              <w:tabs>
                <w:tab w:val="left" w:pos="567"/>
              </w:tabs>
              <w:spacing w:after="60"/>
              <w:rPr>
                <w:i/>
                <w:lang w:val="sr-Cyrl-RS"/>
              </w:rPr>
            </w:pPr>
          </w:p>
        </w:tc>
      </w:tr>
      <w:tr w:rsidR="008C7EA9" w14:paraId="30D3ABCF" w14:textId="77777777" w:rsidTr="008C7EA9">
        <w:trPr>
          <w:trHeight w:val="227"/>
          <w:jc w:val="center"/>
        </w:trPr>
        <w:tc>
          <w:tcPr>
            <w:tcW w:w="3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63FF70" w14:textId="59C38D42" w:rsidR="008C7EA9" w:rsidRPr="00E144A3" w:rsidRDefault="008C7EA9" w:rsidP="008C7EA9">
            <w:pPr>
              <w:tabs>
                <w:tab w:val="left" w:pos="567"/>
              </w:tabs>
              <w:spacing w:after="60"/>
              <w:rPr>
                <w:i/>
                <w:lang w:val="sr-Cyrl-RS"/>
              </w:rPr>
            </w:pPr>
            <w:r>
              <w:rPr>
                <w:lang w:val="sr-Cyrl-RS"/>
              </w:rPr>
              <w:t>Семинарски рад</w:t>
            </w:r>
          </w:p>
        </w:tc>
        <w:tc>
          <w:tcPr>
            <w:tcW w:w="1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4B3291" w14:textId="72F076AE" w:rsidR="008C7EA9" w:rsidRPr="00CB0635" w:rsidRDefault="008C7EA9" w:rsidP="008C7EA9">
            <w:pPr>
              <w:tabs>
                <w:tab w:val="left" w:pos="567"/>
              </w:tabs>
              <w:spacing w:after="60"/>
              <w:rPr>
                <w:b/>
                <w:color w:val="FF0000"/>
              </w:rPr>
            </w:pPr>
            <w:r w:rsidRPr="00CB0635">
              <w:rPr>
                <w:b/>
                <w:color w:val="FF0000"/>
                <w:lang w:val="sr-Cyrl-RS"/>
              </w:rPr>
              <w:t>2</w:t>
            </w:r>
            <w:r w:rsidRPr="00CB0635">
              <w:rPr>
                <w:b/>
                <w:color w:val="FF0000"/>
              </w:rPr>
              <w:t>5</w:t>
            </w:r>
          </w:p>
        </w:tc>
        <w:tc>
          <w:tcPr>
            <w:tcW w:w="32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DFDE6F" w14:textId="3E0F0068" w:rsidR="008C7EA9" w:rsidRDefault="008C7EA9" w:rsidP="008C7EA9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65289B" w14:textId="2F85740A" w:rsidR="008C7EA9" w:rsidRDefault="008C7EA9" w:rsidP="008C7EA9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4372F473" w14:textId="77777777" w:rsidR="00C843F9" w:rsidRDefault="00C843F9">
      <w:pPr>
        <w:jc w:val="center"/>
      </w:pPr>
    </w:p>
    <w:sectPr w:rsidR="00C843F9">
      <w:headerReference w:type="default" r:id="rId8"/>
      <w:footerReference w:type="default" r:id="rId9"/>
      <w:pgSz w:w="11906" w:h="16838"/>
      <w:pgMar w:top="2269" w:right="283" w:bottom="851" w:left="426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03491" w14:textId="77777777" w:rsidR="00B65A8E" w:rsidRDefault="00B65A8E">
      <w:r>
        <w:separator/>
      </w:r>
    </w:p>
  </w:endnote>
  <w:endnote w:type="continuationSeparator" w:id="0">
    <w:p w14:paraId="6E17F689" w14:textId="77777777" w:rsidR="00B65A8E" w:rsidRDefault="00B6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1"/>
    <w:family w:val="auto"/>
    <w:pitch w:val="default"/>
  </w:font>
  <w:font w:name="MyriadPro-Regular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36BAC" w14:textId="77777777" w:rsidR="00C843F9" w:rsidRDefault="00000000">
    <w:pP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6B14E" w14:textId="77777777" w:rsidR="00B65A8E" w:rsidRDefault="00B65A8E">
      <w:r>
        <w:separator/>
      </w:r>
    </w:p>
  </w:footnote>
  <w:footnote w:type="continuationSeparator" w:id="0">
    <w:p w14:paraId="440315B2" w14:textId="77777777" w:rsidR="00B65A8E" w:rsidRDefault="00B65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75A07" w14:textId="77777777" w:rsidR="00C843F9" w:rsidRDefault="00C843F9">
    <w:pPr>
      <w:tabs>
        <w:tab w:val="center" w:pos="4320"/>
        <w:tab w:val="right" w:pos="8640"/>
      </w:tabs>
      <w:rPr>
        <w:color w:val="000000"/>
      </w:rPr>
    </w:pPr>
  </w:p>
  <w:tbl>
    <w:tblPr>
      <w:tblW w:w="9658" w:type="dxa"/>
      <w:jc w:val="center"/>
      <w:tblBorders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  <w:insideH w:val="single" w:sz="4" w:space="0" w:color="000001"/>
        <w:insideV w:val="single" w:sz="4" w:space="0" w:color="000001"/>
      </w:tblBorders>
      <w:tblLook w:val="0000" w:firstRow="0" w:lastRow="0" w:firstColumn="0" w:lastColumn="0" w:noHBand="0" w:noVBand="0"/>
    </w:tblPr>
    <w:tblGrid>
      <w:gridCol w:w="1667"/>
      <w:gridCol w:w="6296"/>
      <w:gridCol w:w="1695"/>
    </w:tblGrid>
    <w:tr w:rsidR="00C843F9" w14:paraId="50AD3AAA" w14:textId="77777777">
      <w:trPr>
        <w:trHeight w:val="367"/>
        <w:jc w:val="center"/>
      </w:trPr>
      <w:tc>
        <w:tcPr>
          <w:tcW w:w="1667" w:type="dxa"/>
          <w:vMerge w:val="restart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vAlign w:val="center"/>
        </w:tcPr>
        <w:p w14:paraId="36856A14" w14:textId="77777777" w:rsidR="00C843F9" w:rsidRDefault="00000000">
          <w:pP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79B634DE" wp14:editId="5E171D16">
                <wp:extent cx="902970" cy="902970"/>
                <wp:effectExtent l="0" t="0" r="0" b="0"/>
                <wp:docPr id="1" name="image2.png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png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2970" cy="902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96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FFFFFF"/>
          <w:vAlign w:val="center"/>
        </w:tcPr>
        <w:p w14:paraId="37434933" w14:textId="77777777" w:rsidR="00C843F9" w:rsidRDefault="00000000">
          <w:pP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B5BEB64" w14:textId="77777777" w:rsidR="00C843F9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95" w:type="dxa"/>
          <w:vMerge w:val="restart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vAlign w:val="center"/>
        </w:tcPr>
        <w:p w14:paraId="00622835" w14:textId="77777777" w:rsidR="00C843F9" w:rsidRDefault="00000000">
          <w:pP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37C3B952" wp14:editId="6AA960F1">
                <wp:extent cx="920115" cy="920115"/>
                <wp:effectExtent l="0" t="0" r="0" b="0"/>
                <wp:docPr id="2" name="image1.png" descr="Redizajnirani logotip 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Redizajnirani logotip 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920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843F9" w14:paraId="2D40F602" w14:textId="77777777">
      <w:trPr>
        <w:trHeight w:val="467"/>
        <w:jc w:val="center"/>
      </w:trPr>
      <w:tc>
        <w:tcPr>
          <w:tcW w:w="1667" w:type="dxa"/>
          <w:vMerge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vAlign w:val="center"/>
        </w:tcPr>
        <w:p w14:paraId="20B07B8E" w14:textId="77777777" w:rsidR="00C843F9" w:rsidRDefault="00C843F9">
          <w:pPr>
            <w:spacing w:line="276" w:lineRule="auto"/>
            <w:rPr>
              <w:color w:val="000000"/>
            </w:rPr>
          </w:pPr>
        </w:p>
      </w:tc>
      <w:tc>
        <w:tcPr>
          <w:tcW w:w="6296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E6E6E6"/>
          <w:vAlign w:val="center"/>
        </w:tcPr>
        <w:p w14:paraId="2D80B8C0" w14:textId="77777777" w:rsidR="00C843F9" w:rsidRDefault="00000000">
          <w:pP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95" w:type="dxa"/>
          <w:vMerge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vAlign w:val="center"/>
        </w:tcPr>
        <w:p w14:paraId="3E3C6023" w14:textId="77777777" w:rsidR="00C843F9" w:rsidRDefault="00C843F9">
          <w:pP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C843F9" w14:paraId="7DC3C214" w14:textId="77777777">
      <w:trPr>
        <w:trHeight w:val="449"/>
        <w:jc w:val="center"/>
      </w:trPr>
      <w:tc>
        <w:tcPr>
          <w:tcW w:w="1667" w:type="dxa"/>
          <w:vMerge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vAlign w:val="center"/>
        </w:tcPr>
        <w:p w14:paraId="302A75A8" w14:textId="77777777" w:rsidR="00C843F9" w:rsidRDefault="00C843F9">
          <w:pP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296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FFFFFF"/>
          <w:vAlign w:val="center"/>
        </w:tcPr>
        <w:p w14:paraId="67F07A15" w14:textId="77777777" w:rsidR="00C843F9" w:rsidRDefault="00000000">
          <w:pP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психологије</w:t>
          </w:r>
        </w:p>
      </w:tc>
      <w:tc>
        <w:tcPr>
          <w:tcW w:w="1695" w:type="dxa"/>
          <w:vMerge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vAlign w:val="center"/>
        </w:tcPr>
        <w:p w14:paraId="0F885F7C" w14:textId="77777777" w:rsidR="00C843F9" w:rsidRDefault="00C843F9">
          <w:pP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14:paraId="59F975A5" w14:textId="77777777" w:rsidR="00C843F9" w:rsidRDefault="00C843F9">
    <w:pP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B0D59"/>
    <w:multiLevelType w:val="multilevel"/>
    <w:tmpl w:val="9B4AF0FA"/>
    <w:lvl w:ilvl="0">
      <w:start w:val="1"/>
      <w:numFmt w:val="decimal"/>
      <w:lvlText w:val="%1."/>
      <w:lvlJc w:val="left"/>
      <w:pPr>
        <w:ind w:left="108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" w15:restartNumberingAfterBreak="0">
    <w:nsid w:val="379B63E9"/>
    <w:multiLevelType w:val="multilevel"/>
    <w:tmpl w:val="572A4D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08374168">
    <w:abstractNumId w:val="0"/>
  </w:num>
  <w:num w:numId="2" w16cid:durableId="1767191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3F9"/>
    <w:rsid w:val="001D3637"/>
    <w:rsid w:val="00622A33"/>
    <w:rsid w:val="008C7EA9"/>
    <w:rsid w:val="009F11D6"/>
    <w:rsid w:val="00AD1BFF"/>
    <w:rsid w:val="00B65A8E"/>
    <w:rsid w:val="00C53557"/>
    <w:rsid w:val="00C843F9"/>
    <w:rsid w:val="00CB0635"/>
    <w:rsid w:val="00E1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0EA26"/>
  <w15:docId w15:val="{431EEAFA-A600-4C0F-A067-760F14EF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B79"/>
    <w:rPr>
      <w:lang w:eastAsia="sr-Latn-CS"/>
    </w:rPr>
  </w:style>
  <w:style w:type="paragraph" w:styleId="Heading1">
    <w:name w:val="heading 1"/>
    <w:basedOn w:val="Normal"/>
    <w:next w:val="Normal"/>
    <w:uiPriority w:val="9"/>
    <w:qFormat/>
    <w:rsid w:val="001E1E7F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F4203A"/>
    <w:rPr>
      <w:color w:val="0000FF"/>
      <w:u w:val="single"/>
    </w:rPr>
  </w:style>
  <w:style w:type="character" w:styleId="FollowedHyperlink">
    <w:name w:val="FollowedHyperlink"/>
    <w:qFormat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qFormat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qFormat/>
    <w:rsid w:val="00416D10"/>
    <w:rPr>
      <w:color w:val="808080"/>
      <w:shd w:val="clear" w:color="auto" w:fill="E6E6E6"/>
    </w:rPr>
  </w:style>
  <w:style w:type="character" w:styleId="CommentReference">
    <w:name w:val="annotation reference"/>
    <w:qFormat/>
    <w:rsid w:val="00B96DBC"/>
    <w:rPr>
      <w:sz w:val="16"/>
      <w:szCs w:val="16"/>
    </w:rPr>
  </w:style>
  <w:style w:type="character" w:customStyle="1" w:styleId="CommentTextChar">
    <w:name w:val="Comment Text Char"/>
    <w:link w:val="CommentText"/>
    <w:qFormat/>
    <w:rsid w:val="00B96DBC"/>
    <w:rPr>
      <w:lang w:val="sr-Latn-CS" w:eastAsia="sr-Latn-CS"/>
    </w:rPr>
  </w:style>
  <w:style w:type="character" w:customStyle="1" w:styleId="CommentSubjectChar">
    <w:name w:val="Comment Subject Char"/>
    <w:link w:val="CommentSubject"/>
    <w:qFormat/>
    <w:rsid w:val="00B96DBC"/>
    <w:rPr>
      <w:b/>
      <w:bCs/>
      <w:lang w:val="sr-Latn-CS" w:eastAsia="sr-Latn-CS"/>
    </w:rPr>
  </w:style>
  <w:style w:type="character" w:customStyle="1" w:styleId="fontstyle01">
    <w:name w:val="fontstyle01"/>
    <w:basedOn w:val="DefaultParagraphFont"/>
    <w:qFormat/>
    <w:rsid w:val="00452100"/>
    <w:rPr>
      <w:rFonts w:ascii="MyriadPro-Regular" w:hAnsi="MyriadPro-Regular"/>
      <w:b w:val="0"/>
      <w:bCs w:val="0"/>
      <w:i w:val="0"/>
      <w:iCs w:val="0"/>
      <w:color w:val="242021"/>
      <w:sz w:val="24"/>
      <w:szCs w:val="24"/>
    </w:rPr>
  </w:style>
  <w:style w:type="character" w:customStyle="1" w:styleId="ListLabel1">
    <w:name w:val="ListLabel 1"/>
    <w:qFormat/>
    <w:rPr>
      <w:position w:val="0"/>
      <w:sz w:val="20"/>
      <w:vertAlign w:val="baseline"/>
    </w:rPr>
  </w:style>
  <w:style w:type="character" w:customStyle="1" w:styleId="ListLabel2">
    <w:name w:val="ListLabel 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">
    <w:name w:val="ListLabel 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5">
    <w:name w:val="ListLabel 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6">
    <w:name w:val="ListLabel 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7">
    <w:name w:val="ListLabel 7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8">
    <w:name w:val="ListLabel 8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9">
    <w:name w:val="ListLabel 9"/>
    <w:qFormat/>
    <w:rPr>
      <w:rFonts w:eastAsia="Noto Sans Symbols" w:cs="Noto Sans Symbols"/>
      <w:position w:val="0"/>
      <w:sz w:val="20"/>
      <w:vertAlign w:val="baselin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D6133"/>
    <w:rPr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0B6B7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0A64BA"/>
    <w:pPr>
      <w:jc w:val="both"/>
    </w:pPr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0D7E29"/>
    <w:pPr>
      <w:spacing w:beforeAutospacing="1" w:afterAutospacing="1"/>
    </w:pPr>
    <w:rPr>
      <w:sz w:val="24"/>
      <w:szCs w:val="24"/>
    </w:rPr>
  </w:style>
  <w:style w:type="paragraph" w:styleId="CommentText">
    <w:name w:val="annotation text"/>
    <w:basedOn w:val="Normal"/>
    <w:link w:val="CommentTextChar"/>
    <w:qFormat/>
    <w:rsid w:val="00B96DBC"/>
  </w:style>
  <w:style w:type="paragraph" w:styleId="CommentSubject">
    <w:name w:val="annotation subject"/>
    <w:basedOn w:val="CommentText"/>
    <w:link w:val="CommentSubjectChar"/>
    <w:qFormat/>
    <w:rsid w:val="00B96DBC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ew7/czUV6ZaTlThydes5YJKKkTw==">AMUW2mVeVqkEc46spzy43UHzowfcPaaMxAU/AXOBwFgoeO4BFQyZzsINuZq/PadpdHn7aXMPSBdZOt2ZpJQWXqlPCbn7mKAXwJ6gcJz0AOLSZtbsy0aiS90=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Office</cp:lastModifiedBy>
  <cp:revision>9</cp:revision>
  <cp:lastPrinted>2023-10-23T11:42:00Z</cp:lastPrinted>
  <dcterms:created xsi:type="dcterms:W3CDTF">2021-10-12T08:32:00Z</dcterms:created>
  <dcterms:modified xsi:type="dcterms:W3CDTF">2025-05-15T07:49:00Z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