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792A1" w14:textId="77777777" w:rsidR="00EB086A" w:rsidRDefault="00F30E64">
      <w:pPr>
        <w:jc w:val="center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774"/>
      </w:tblGrid>
      <w:tr w:rsidR="00EB086A" w14:paraId="6B276875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4E11D22" w14:textId="39B78148" w:rsidR="00EB086A" w:rsidRDefault="00F30E64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Студијски програм: </w:t>
            </w:r>
            <w:r w:rsidR="001301E9">
              <w:rPr>
                <w:b/>
                <w:lang w:val="sr-Cyrl-RS"/>
              </w:rPr>
              <w:t>ОАС</w:t>
            </w:r>
            <w:r>
              <w:rPr>
                <w:b/>
              </w:rPr>
              <w:t xml:space="preserve"> </w:t>
            </w:r>
            <w:r w:rsidR="001301E9">
              <w:rPr>
                <w:b/>
                <w:lang w:val="sr-Cyrl-RS"/>
              </w:rPr>
              <w:t xml:space="preserve">Немачког </w:t>
            </w:r>
            <w:bookmarkStart w:id="0" w:name="_GoBack"/>
            <w:bookmarkEnd w:id="0"/>
            <w:r>
              <w:rPr>
                <w:b/>
              </w:rPr>
              <w:t>језика и књижевности</w:t>
            </w:r>
          </w:p>
        </w:tc>
      </w:tr>
      <w:tr w:rsidR="00EB086A" w14:paraId="4B930AAE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1DF38CD" w14:textId="77777777" w:rsidR="00EB086A" w:rsidRDefault="00F30E64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Назив предмета: Увод у психологију наставника</w:t>
            </w:r>
          </w:p>
        </w:tc>
      </w:tr>
      <w:tr w:rsidR="00EB086A" w14:paraId="1BAE4675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30D98DD" w14:textId="77777777" w:rsidR="00EB086A" w:rsidRDefault="00F30E64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Наставник/наставници: Гордана Д. </w:t>
            </w:r>
            <w:hyperlink r:id="rId6">
              <w:r>
                <w:rPr>
                  <w:b/>
                  <w:color w:val="0000FF"/>
                  <w:u w:val="single"/>
                </w:rPr>
                <w:t>Ђигић</w:t>
              </w:r>
            </w:hyperlink>
          </w:p>
        </w:tc>
      </w:tr>
      <w:tr w:rsidR="00EB086A" w14:paraId="10F7396B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7D1A6C3" w14:textId="77777777" w:rsidR="00EB086A" w:rsidRDefault="00F30E64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Статус предмета: изборни</w:t>
            </w:r>
          </w:p>
        </w:tc>
      </w:tr>
      <w:tr w:rsidR="00EB086A" w14:paraId="1A212CC9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76288A5" w14:textId="77777777" w:rsidR="00EB086A" w:rsidRDefault="00F30E64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Број ЕСПБ: 4</w:t>
            </w:r>
          </w:p>
        </w:tc>
      </w:tr>
      <w:tr w:rsidR="00EB086A" w14:paraId="2DBA4945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5BFE4D4" w14:textId="77777777" w:rsidR="00EB086A" w:rsidRDefault="00F30E64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Услов: /</w:t>
            </w:r>
          </w:p>
        </w:tc>
      </w:tr>
      <w:tr w:rsidR="00EB086A" w14:paraId="2C9BB158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E99B501" w14:textId="77777777" w:rsidR="00EB086A" w:rsidRDefault="00F30E6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Циљ предмета</w:t>
            </w:r>
          </w:p>
          <w:p w14:paraId="49C1D881" w14:textId="77777777" w:rsidR="00EB086A" w:rsidRDefault="00F30E64">
            <w:pPr>
              <w:tabs>
                <w:tab w:val="left" w:pos="567"/>
              </w:tabs>
              <w:spacing w:after="60"/>
            </w:pPr>
            <w:r>
              <w:t>Упознавање са савременим схватањима улоге наставника у образовно-васпитном процесу. Стицање знања о</w:t>
            </w:r>
            <w:r>
              <w:t xml:space="preserve"> личности наставника, комуникационим вештинама, начину управљања разредом, професионалним компетенцијама и ставовима. Разумевање повезаности између особина личности наставника, његових професионалних компетенција, васпитно-образовних циљева и ефеката учења</w:t>
            </w:r>
            <w:r>
              <w:t>.</w:t>
            </w:r>
          </w:p>
        </w:tc>
      </w:tr>
      <w:tr w:rsidR="00EB086A" w14:paraId="7A2499FB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BEF46B2" w14:textId="77777777" w:rsidR="00EB086A" w:rsidRDefault="00F30E6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Исход предмета </w:t>
            </w:r>
          </w:p>
          <w:p w14:paraId="557810AD" w14:textId="77777777" w:rsidR="00EB086A" w:rsidRDefault="00F30E64">
            <w:pPr>
              <w:tabs>
                <w:tab w:val="left" w:pos="567"/>
              </w:tabs>
              <w:spacing w:after="60"/>
            </w:pPr>
            <w:r>
              <w:t>Студент поседује знања о бројним улогама наставника у образовно-васпитном процесу; разуме да постоји повезаност између особина личности наставника, његових професионалних компетенција, васпитно-образовних циљева и школског постигнућа уче</w:t>
            </w:r>
            <w:r>
              <w:t>ника; уочава могућности примене стечених знања у раду са ученицима, са циљем стварања услова за напредовање свих ученика.</w:t>
            </w:r>
          </w:p>
        </w:tc>
      </w:tr>
      <w:tr w:rsidR="00EB086A" w14:paraId="3F05FC67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93429EB" w14:textId="77777777" w:rsidR="00EB086A" w:rsidRDefault="00F30E6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Садржај предмета</w:t>
            </w:r>
          </w:p>
          <w:p w14:paraId="11390067" w14:textId="77777777" w:rsidR="00EB086A" w:rsidRDefault="00F30E64">
            <w:r>
              <w:rPr>
                <w:i/>
              </w:rPr>
              <w:t>Теоријска настава</w:t>
            </w:r>
          </w:p>
          <w:p w14:paraId="52D135B3" w14:textId="77777777" w:rsidR="00EB086A" w:rsidRDefault="00F30E64">
            <w:pPr>
              <w:tabs>
                <w:tab w:val="left" w:pos="567"/>
              </w:tabs>
              <w:spacing w:after="60"/>
            </w:pPr>
            <w:r>
              <w:t>1) Квалитетно образовање и компоненте ефикасног наставног процеса, 2) Наставник као фактор успешности наставног процеса – особине успешних наставника (емпатија, емоционална интелигенција), 3) Структурне карактеристике личности наставника, 4) Мотивационе ка</w:t>
            </w:r>
            <w:r>
              <w:t>рактеристике личности наставника (самоактуализованост, потребе из угла теорије самодетерминације), 5) Ставови, очекивања наставника и њихове имплицитне теорије од значаја за наставни рад, 6) Улоге наставника, 7) Професионалне компетенције наставника, 8) Ко</w:t>
            </w:r>
            <w:r>
              <w:t>муникационе вештине наставника, 9) Наставник као креатор продуктивне разредне климе, 10) Управљање разредом – значење концепта и смисао у проучавању ефикасне наставе, 11) Димензије управљања разредом,  12) Стилови управљања разредом, 13) Професионални разв</w:t>
            </w:r>
            <w:r>
              <w:t>ој наставника, 14) Завршни преглед.</w:t>
            </w:r>
          </w:p>
        </w:tc>
      </w:tr>
      <w:tr w:rsidR="00EB086A" w14:paraId="0E141000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3B0D63B" w14:textId="77777777" w:rsidR="00EB086A" w:rsidRDefault="00F30E6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Литература </w:t>
            </w:r>
          </w:p>
          <w:p w14:paraId="121774F8" w14:textId="77777777" w:rsidR="00EB086A" w:rsidRDefault="00F30E64">
            <w:pPr>
              <w:ind w:left="-90"/>
            </w:pPr>
            <w:r>
              <w:rPr>
                <w:sz w:val="18"/>
                <w:szCs w:val="18"/>
              </w:rPr>
              <w:t xml:space="preserve">Ђигић, Г. (2017). </w:t>
            </w:r>
            <w:r>
              <w:rPr>
                <w:i/>
                <w:sz w:val="18"/>
                <w:szCs w:val="18"/>
              </w:rPr>
              <w:t>Управљање разредом – савремени приступ психологији наставника</w:t>
            </w:r>
            <w:r>
              <w:rPr>
                <w:sz w:val="18"/>
                <w:szCs w:val="18"/>
              </w:rPr>
              <w:t>. Ниш: Филозофски факултет. (11-79)</w:t>
            </w:r>
          </w:p>
          <w:p w14:paraId="28EF1846" w14:textId="77777777" w:rsidR="00EB086A" w:rsidRDefault="00F30E64">
            <w:pPr>
              <w:widowControl/>
              <w:ind w:left="-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Златковић, Б. (2014). </w:t>
            </w:r>
            <w:r>
              <w:rPr>
                <w:i/>
                <w:sz w:val="18"/>
                <w:szCs w:val="18"/>
              </w:rPr>
              <w:t>Психологија учења и наставе</w:t>
            </w:r>
            <w:r>
              <w:rPr>
                <w:sz w:val="18"/>
                <w:szCs w:val="18"/>
              </w:rPr>
              <w:t>. Врање: Учитељски факултет. (141-148)</w:t>
            </w:r>
          </w:p>
          <w:p w14:paraId="77830886" w14:textId="77777777" w:rsidR="00EB086A" w:rsidRDefault="00F30E64">
            <w:pPr>
              <w:widowControl/>
              <w:ind w:left="-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Стан</w:t>
            </w:r>
            <w:r>
              <w:rPr>
                <w:sz w:val="18"/>
                <w:szCs w:val="18"/>
              </w:rPr>
              <w:t xml:space="preserve">ковић, Д., Павловић, Ј. (2010). Модели професионалног развоја наставника. У: Половина, Н., Павловић, J.: </w:t>
            </w:r>
            <w:r>
              <w:rPr>
                <w:i/>
                <w:sz w:val="18"/>
                <w:szCs w:val="18"/>
              </w:rPr>
              <w:t>Теорија и пракса професионалног развоја наставника</w:t>
            </w:r>
            <w:r>
              <w:rPr>
                <w:sz w:val="18"/>
                <w:szCs w:val="18"/>
              </w:rPr>
              <w:t>. Београд: Институт за педагошка истраживања (18-39)</w:t>
            </w:r>
          </w:p>
          <w:p w14:paraId="78EAE760" w14:textId="77777777" w:rsidR="00EB086A" w:rsidRDefault="00F30E64">
            <w:pPr>
              <w:widowControl/>
              <w:ind w:left="-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Бјекић, Д. (2009). </w:t>
            </w:r>
            <w:r>
              <w:rPr>
                <w:i/>
                <w:sz w:val="18"/>
                <w:szCs w:val="18"/>
              </w:rPr>
              <w:t>Комуникологија – основе педаг</w:t>
            </w:r>
            <w:r>
              <w:rPr>
                <w:i/>
                <w:sz w:val="18"/>
                <w:szCs w:val="18"/>
              </w:rPr>
              <w:t>ошког и пословног комуницирања</w:t>
            </w:r>
            <w:r>
              <w:rPr>
                <w:sz w:val="18"/>
                <w:szCs w:val="18"/>
              </w:rPr>
              <w:t>. Чачак: Технички факултет (45-84, 91-93, 113-117, 255-270)</w:t>
            </w:r>
          </w:p>
          <w:p w14:paraId="66BB40E3" w14:textId="77777777" w:rsidR="00EB086A" w:rsidRDefault="00F30E64">
            <w:pPr>
              <w:widowControl/>
              <w:ind w:left="-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Андриловић, В., Чудина, М. (1985). </w:t>
            </w:r>
            <w:r>
              <w:rPr>
                <w:i/>
                <w:sz w:val="18"/>
                <w:szCs w:val="18"/>
              </w:rPr>
              <w:t>Психологија учења и наставе</w:t>
            </w:r>
            <w:r>
              <w:rPr>
                <w:sz w:val="18"/>
                <w:szCs w:val="18"/>
              </w:rPr>
              <w:t>. Загреб: Школска књига (131-150)</w:t>
            </w:r>
          </w:p>
          <w:p w14:paraId="38B53DC6" w14:textId="77777777" w:rsidR="00EB086A" w:rsidRDefault="00EB086A">
            <w:pPr>
              <w:widowControl/>
              <w:ind w:left="-42"/>
              <w:rPr>
                <w:sz w:val="18"/>
                <w:szCs w:val="18"/>
              </w:rPr>
            </w:pPr>
          </w:p>
          <w:p w14:paraId="1C0FB1B2" w14:textId="77777777" w:rsidR="00EB086A" w:rsidRDefault="00F30E64">
            <w:pPr>
              <w:widowControl/>
              <w:ind w:left="-42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Препоручена литература: </w:t>
            </w:r>
          </w:p>
          <w:p w14:paraId="2120A832" w14:textId="77777777" w:rsidR="00EB086A" w:rsidRDefault="00F30E64">
            <w:pPr>
              <w:widowControl/>
              <w:ind w:left="-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Стојиљковић, С. (2014). </w:t>
            </w:r>
            <w:r>
              <w:rPr>
                <w:i/>
                <w:sz w:val="18"/>
                <w:szCs w:val="18"/>
              </w:rPr>
              <w:t>Психолошке карактери</w:t>
            </w:r>
            <w:r>
              <w:rPr>
                <w:i/>
                <w:sz w:val="18"/>
                <w:szCs w:val="18"/>
              </w:rPr>
              <w:t>стике наставника</w:t>
            </w:r>
            <w:r>
              <w:rPr>
                <w:sz w:val="18"/>
                <w:szCs w:val="18"/>
              </w:rPr>
              <w:t>. Ниш: Филозофски факултет.</w:t>
            </w:r>
          </w:p>
          <w:p w14:paraId="7CE15848" w14:textId="77777777" w:rsidR="00EB086A" w:rsidRDefault="00F30E64">
            <w:pPr>
              <w:widowControl/>
              <w:ind w:left="-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Бјекић, Д. (1999). </w:t>
            </w:r>
            <w:r>
              <w:rPr>
                <w:i/>
                <w:sz w:val="18"/>
                <w:szCs w:val="18"/>
              </w:rPr>
              <w:t>Професионални развој наставника</w:t>
            </w:r>
            <w:r>
              <w:rPr>
                <w:sz w:val="18"/>
                <w:szCs w:val="18"/>
              </w:rPr>
              <w:t>. Ужице: Учитељски факултет.</w:t>
            </w:r>
          </w:p>
          <w:p w14:paraId="6C04C55A" w14:textId="77777777" w:rsidR="00EB086A" w:rsidRDefault="00F30E64">
            <w:pPr>
              <w:tabs>
                <w:tab w:val="left" w:pos="567"/>
              </w:tabs>
              <w:spacing w:after="60"/>
            </w:pPr>
            <w:r>
              <w:rPr>
                <w:sz w:val="18"/>
                <w:szCs w:val="18"/>
              </w:rPr>
              <w:t xml:space="preserve">Златић, Л., Бјекић, Д. (2015). </w:t>
            </w:r>
            <w:r>
              <w:rPr>
                <w:i/>
                <w:sz w:val="18"/>
                <w:szCs w:val="18"/>
              </w:rPr>
              <w:t>Комуникациона компетентнност наставника</w:t>
            </w:r>
            <w:r>
              <w:rPr>
                <w:sz w:val="18"/>
                <w:szCs w:val="18"/>
              </w:rPr>
              <w:t>. Ужице: Учитељски факултет.</w:t>
            </w:r>
          </w:p>
        </w:tc>
      </w:tr>
      <w:tr w:rsidR="00EB086A" w14:paraId="2CEF1002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2B67EAE" w14:textId="77777777" w:rsidR="00EB086A" w:rsidRDefault="00F30E6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1E26B945" w14:textId="77777777" w:rsidR="00EB086A" w:rsidRDefault="00F30E6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3822" w:type="dxa"/>
            <w:gridSpan w:val="2"/>
            <w:vAlign w:val="center"/>
          </w:tcPr>
          <w:p w14:paraId="4E9E60A9" w14:textId="77777777" w:rsidR="00EB086A" w:rsidRDefault="00F30E6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Практична настава: 0</w:t>
            </w:r>
          </w:p>
        </w:tc>
      </w:tr>
      <w:tr w:rsidR="00EB086A" w14:paraId="2BAAF547" w14:textId="77777777">
        <w:trPr>
          <w:trHeight w:val="227"/>
          <w:jc w:val="center"/>
        </w:trPr>
        <w:tc>
          <w:tcPr>
            <w:tcW w:w="10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5E3AE" w14:textId="77777777" w:rsidR="00EB086A" w:rsidRDefault="00F30E64">
            <w:pPr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Методе извођења наставе</w:t>
            </w:r>
          </w:p>
          <w:p w14:paraId="163C8AF1" w14:textId="77777777" w:rsidR="00EB086A" w:rsidRDefault="00F30E64">
            <w:pPr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Предавања, интерактивне методе (демонстрација, симулације, дискусија)</w:t>
            </w:r>
          </w:p>
        </w:tc>
      </w:tr>
      <w:tr w:rsidR="00EB086A" w14:paraId="35F2F117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8906155" w14:textId="77777777" w:rsidR="00EB086A" w:rsidRDefault="00F30E6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EB086A" w14:paraId="52ED71C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417D8D2" w14:textId="77777777" w:rsidR="00EB086A" w:rsidRDefault="00F30E6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1E5C57B" w14:textId="77777777" w:rsidR="00EB086A" w:rsidRDefault="00F30E64">
            <w:pPr>
              <w:tabs>
                <w:tab w:val="left" w:pos="567"/>
              </w:tabs>
              <w:spacing w:after="60"/>
            </w:pPr>
            <w:r>
              <w:t>поена</w:t>
            </w:r>
          </w:p>
          <w:p w14:paraId="46D5EDAE" w14:textId="77777777" w:rsidR="00EB086A" w:rsidRDefault="00EB086A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14:paraId="180BF891" w14:textId="77777777" w:rsidR="00EB086A" w:rsidRDefault="00F30E6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vAlign w:val="center"/>
          </w:tcPr>
          <w:p w14:paraId="1E4B89AD" w14:textId="77777777" w:rsidR="00EB086A" w:rsidRDefault="00F30E64">
            <w:pPr>
              <w:tabs>
                <w:tab w:val="left" w:pos="567"/>
              </w:tabs>
              <w:spacing w:after="60"/>
            </w:pPr>
            <w:r>
              <w:t>поена</w:t>
            </w:r>
          </w:p>
        </w:tc>
      </w:tr>
      <w:tr w:rsidR="00EB086A" w14:paraId="4B8E6326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A321D5A" w14:textId="77777777" w:rsidR="00EB086A" w:rsidRDefault="00F30E64">
            <w:pPr>
              <w:tabs>
                <w:tab w:val="left" w:pos="567"/>
              </w:tabs>
              <w:spacing w:after="60"/>
            </w:pPr>
            <w:r>
              <w:t>активност у току предавања</w:t>
            </w:r>
          </w:p>
        </w:tc>
        <w:tc>
          <w:tcPr>
            <w:tcW w:w="1960" w:type="dxa"/>
            <w:vAlign w:val="center"/>
          </w:tcPr>
          <w:p w14:paraId="6F9D0BE4" w14:textId="77777777" w:rsidR="00EB086A" w:rsidRDefault="00F30E6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20</w:t>
            </w:r>
          </w:p>
        </w:tc>
        <w:tc>
          <w:tcPr>
            <w:tcW w:w="3223" w:type="dxa"/>
            <w:gridSpan w:val="2"/>
            <w:vAlign w:val="center"/>
          </w:tcPr>
          <w:p w14:paraId="76DE0FF4" w14:textId="77777777" w:rsidR="00EB086A" w:rsidRDefault="00F30E64">
            <w:pPr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774" w:type="dxa"/>
            <w:vAlign w:val="center"/>
          </w:tcPr>
          <w:p w14:paraId="4016F3A9" w14:textId="77777777" w:rsidR="00EB086A" w:rsidRDefault="00F30E6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40</w:t>
            </w:r>
          </w:p>
        </w:tc>
      </w:tr>
      <w:tr w:rsidR="00EB086A" w14:paraId="2F4E20E3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307E90F5" w14:textId="77777777" w:rsidR="00EB086A" w:rsidRDefault="00F30E64">
            <w:pPr>
              <w:tabs>
                <w:tab w:val="left" w:pos="567"/>
              </w:tabs>
              <w:spacing w:after="60"/>
            </w:pPr>
            <w:r>
              <w:t>практична настава</w:t>
            </w:r>
          </w:p>
        </w:tc>
        <w:tc>
          <w:tcPr>
            <w:tcW w:w="1960" w:type="dxa"/>
            <w:vAlign w:val="center"/>
          </w:tcPr>
          <w:p w14:paraId="028BCCEB" w14:textId="77777777" w:rsidR="00EB086A" w:rsidRDefault="00EB086A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14:paraId="4840F28B" w14:textId="77777777" w:rsidR="00EB086A" w:rsidRDefault="00F30E64">
            <w:pPr>
              <w:tabs>
                <w:tab w:val="left" w:pos="567"/>
              </w:tabs>
              <w:spacing w:after="60"/>
            </w:pPr>
            <w:r>
              <w:t>усмени испт</w:t>
            </w:r>
          </w:p>
        </w:tc>
        <w:tc>
          <w:tcPr>
            <w:tcW w:w="1774" w:type="dxa"/>
            <w:vAlign w:val="center"/>
          </w:tcPr>
          <w:p w14:paraId="7EA5878D" w14:textId="77777777" w:rsidR="00EB086A" w:rsidRDefault="00EB086A">
            <w:pPr>
              <w:tabs>
                <w:tab w:val="left" w:pos="567"/>
              </w:tabs>
              <w:spacing w:after="60"/>
            </w:pPr>
          </w:p>
        </w:tc>
      </w:tr>
      <w:tr w:rsidR="00EB086A" w14:paraId="698DB9B1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3507742" w14:textId="77777777" w:rsidR="00EB086A" w:rsidRDefault="00F30E64">
            <w:pPr>
              <w:tabs>
                <w:tab w:val="left" w:pos="567"/>
              </w:tabs>
              <w:spacing w:after="60"/>
            </w:pPr>
            <w:r>
              <w:t>колоквијум-и</w:t>
            </w:r>
          </w:p>
        </w:tc>
        <w:tc>
          <w:tcPr>
            <w:tcW w:w="1960" w:type="dxa"/>
            <w:vAlign w:val="center"/>
          </w:tcPr>
          <w:p w14:paraId="20FC142B" w14:textId="77777777" w:rsidR="00EB086A" w:rsidRDefault="00F30E64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40</w:t>
            </w:r>
          </w:p>
        </w:tc>
        <w:tc>
          <w:tcPr>
            <w:tcW w:w="3223" w:type="dxa"/>
            <w:gridSpan w:val="2"/>
            <w:vAlign w:val="center"/>
          </w:tcPr>
          <w:p w14:paraId="019E6C66" w14:textId="77777777" w:rsidR="00EB086A" w:rsidRDefault="00EB086A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14:paraId="35B13011" w14:textId="77777777" w:rsidR="00EB086A" w:rsidRDefault="00EB086A">
            <w:pPr>
              <w:tabs>
                <w:tab w:val="left" w:pos="567"/>
              </w:tabs>
              <w:spacing w:after="60"/>
            </w:pPr>
          </w:p>
        </w:tc>
      </w:tr>
      <w:tr w:rsidR="00EB086A" w14:paraId="48AFF387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D19A579" w14:textId="77777777" w:rsidR="00EB086A" w:rsidRDefault="00F30E64">
            <w:pPr>
              <w:tabs>
                <w:tab w:val="left" w:pos="567"/>
              </w:tabs>
              <w:spacing w:after="60"/>
            </w:pPr>
            <w:r>
              <w:t>семинар-и</w:t>
            </w:r>
          </w:p>
        </w:tc>
        <w:tc>
          <w:tcPr>
            <w:tcW w:w="1960" w:type="dxa"/>
            <w:vAlign w:val="center"/>
          </w:tcPr>
          <w:p w14:paraId="5BEDFB8E" w14:textId="77777777" w:rsidR="00EB086A" w:rsidRDefault="00EB086A">
            <w:pPr>
              <w:tabs>
                <w:tab w:val="left" w:pos="567"/>
              </w:tabs>
              <w:spacing w:after="60"/>
            </w:pPr>
          </w:p>
        </w:tc>
        <w:tc>
          <w:tcPr>
            <w:tcW w:w="3223" w:type="dxa"/>
            <w:gridSpan w:val="2"/>
            <w:vAlign w:val="center"/>
          </w:tcPr>
          <w:p w14:paraId="53D8664E" w14:textId="77777777" w:rsidR="00EB086A" w:rsidRDefault="00EB086A">
            <w:pPr>
              <w:tabs>
                <w:tab w:val="left" w:pos="567"/>
              </w:tabs>
              <w:spacing w:after="60"/>
            </w:pPr>
          </w:p>
        </w:tc>
        <w:tc>
          <w:tcPr>
            <w:tcW w:w="1774" w:type="dxa"/>
            <w:vAlign w:val="center"/>
          </w:tcPr>
          <w:p w14:paraId="2FD99182" w14:textId="77777777" w:rsidR="00EB086A" w:rsidRDefault="00EB086A">
            <w:pPr>
              <w:tabs>
                <w:tab w:val="left" w:pos="567"/>
              </w:tabs>
              <w:spacing w:after="60"/>
            </w:pPr>
          </w:p>
        </w:tc>
      </w:tr>
      <w:tr w:rsidR="00EB086A" w14:paraId="27DF7A6F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11E70F0" w14:textId="77777777" w:rsidR="00EB086A" w:rsidRDefault="00F30E64">
            <w:pPr>
              <w:tabs>
                <w:tab w:val="left" w:pos="567"/>
              </w:tabs>
              <w:spacing w:after="60"/>
            </w:pPr>
            <w:r>
              <w:t>Начин провере знања могу бити различити наведено  у табели су само неке опције: (писмени испити, усмени испт, презентација пројекта, семинари итд......</w:t>
            </w:r>
          </w:p>
        </w:tc>
      </w:tr>
      <w:tr w:rsidR="00EB086A" w14:paraId="25979FFE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4368C698" w14:textId="77777777" w:rsidR="00EB086A" w:rsidRDefault="00F30E64">
            <w:pPr>
              <w:tabs>
                <w:tab w:val="left" w:pos="567"/>
              </w:tabs>
              <w:spacing w:after="60"/>
            </w:pPr>
            <w:r>
              <w:t>*максимална дужна 2 странице А4 формата</w:t>
            </w:r>
          </w:p>
        </w:tc>
      </w:tr>
    </w:tbl>
    <w:p w14:paraId="44E1A6E5" w14:textId="77777777" w:rsidR="00EB086A" w:rsidRDefault="00EB086A">
      <w:pPr>
        <w:jc w:val="center"/>
      </w:pPr>
    </w:p>
    <w:sectPr w:rsidR="00EB086A">
      <w:headerReference w:type="default" r:id="rId7"/>
      <w:footerReference w:type="default" r:id="rId8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B7F796" w14:textId="77777777" w:rsidR="00F30E64" w:rsidRDefault="00F30E64">
      <w:r>
        <w:separator/>
      </w:r>
    </w:p>
  </w:endnote>
  <w:endnote w:type="continuationSeparator" w:id="0">
    <w:p w14:paraId="257880FB" w14:textId="77777777" w:rsidR="00F30E64" w:rsidRDefault="00F30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21E0F" w14:textId="77777777" w:rsidR="00EB086A" w:rsidRDefault="00F30E6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0A55E" w14:textId="77777777" w:rsidR="00F30E64" w:rsidRDefault="00F30E64">
      <w:r>
        <w:separator/>
      </w:r>
    </w:p>
  </w:footnote>
  <w:footnote w:type="continuationSeparator" w:id="0">
    <w:p w14:paraId="7EF6A671" w14:textId="77777777" w:rsidR="00F30E64" w:rsidRDefault="00F30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9114B" w14:textId="77777777" w:rsidR="00EB086A" w:rsidRDefault="00F30E6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EB086A" w14:paraId="5911092D" w14:textId="77777777">
      <w:trPr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3A895E63" w14:textId="77777777" w:rsidR="00EB086A" w:rsidRDefault="00F30E6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469AA243" wp14:editId="354FC8E5">
                <wp:extent cx="900430" cy="899795"/>
                <wp:effectExtent l="0" t="0" r="0" b="0"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42F6C445" w14:textId="77777777" w:rsidR="00EB086A" w:rsidRDefault="00F30E6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0FD46FC6" w14:textId="77777777" w:rsidR="00EB086A" w:rsidRDefault="00F30E6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63D0B733" w14:textId="77777777" w:rsidR="00EB086A" w:rsidRDefault="00F30E6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50DAC9E3" wp14:editId="747FFB5A">
                <wp:extent cx="914400" cy="913765"/>
                <wp:effectExtent l="0" t="0" r="0" b="0"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EB086A" w14:paraId="4CD6394C" w14:textId="77777777">
      <w:trPr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7D99E187" w14:textId="77777777" w:rsidR="00EB086A" w:rsidRDefault="00EB086A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136E049D" w14:textId="77777777" w:rsidR="00EB086A" w:rsidRDefault="00F30E6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7EB3A537" w14:textId="77777777" w:rsidR="00EB086A" w:rsidRDefault="00EB086A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EB086A" w14:paraId="72F6F049" w14:textId="77777777">
      <w:trPr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5160FE70" w14:textId="77777777" w:rsidR="00EB086A" w:rsidRDefault="00EB086A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110DE2C3" w14:textId="3402EA4F" w:rsidR="00EB086A" w:rsidRDefault="001301E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  <w:lang w:val="sr-Cyrl-RS"/>
            </w:rPr>
            <w:t xml:space="preserve">Немачки </w:t>
          </w:r>
          <w:r w:rsidR="00F30E64">
            <w:rPr>
              <w:b/>
              <w:color w:val="333399"/>
              <w:sz w:val="24"/>
              <w:szCs w:val="24"/>
            </w:rPr>
            <w:t>језик и књижевност (ОАС)</w:t>
          </w:r>
        </w:p>
      </w:tc>
      <w:tc>
        <w:tcPr>
          <w:tcW w:w="1656" w:type="dxa"/>
          <w:vMerge/>
          <w:vAlign w:val="center"/>
        </w:tcPr>
        <w:p w14:paraId="5CC0FEAC" w14:textId="77777777" w:rsidR="00EB086A" w:rsidRDefault="00EB086A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066D1EA1" w14:textId="77777777" w:rsidR="00EB086A" w:rsidRDefault="00F30E64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086A"/>
    <w:rsid w:val="001301E9"/>
    <w:rsid w:val="00EB086A"/>
    <w:rsid w:val="00F3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B6219"/>
  <w15:docId w15:val="{83B6F7F8-0C20-4F59-B97E-C71E94FB1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Cyrl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1301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01E9"/>
  </w:style>
  <w:style w:type="paragraph" w:styleId="Footer">
    <w:name w:val="footer"/>
    <w:basedOn w:val="Normal"/>
    <w:link w:val="FooterChar"/>
    <w:uiPriority w:val="99"/>
    <w:unhideWhenUsed/>
    <w:rsid w:val="001301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0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../../Tabele%20standarda%209/Tabele%209.1/Gordana%20Djigic.doc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510</Words>
  <Characters>2912</Characters>
  <Application>Microsoft Office Word</Application>
  <DocSecurity>0</DocSecurity>
  <Lines>24</Lines>
  <Paragraphs>6</Paragraphs>
  <ScaleCrop>false</ScaleCrop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2024-09-08T19:08:00Z</dcterms:created>
  <dcterms:modified xsi:type="dcterms:W3CDTF">2024-09-08T19:09:00Z</dcterms:modified>
</cp:coreProperties>
</file>