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7195A" w14:textId="77777777" w:rsidR="009F40C1" w:rsidRDefault="00276F44">
      <w:r>
        <w:t xml:space="preserve">Спецификација  предмета </w:t>
      </w:r>
    </w:p>
    <w:p w14:paraId="7F444CCF" w14:textId="77777777" w:rsidR="009F40C1" w:rsidRDefault="009F40C1"/>
    <w:tbl>
      <w:tblPr>
        <w:tblStyle w:val="a"/>
        <w:tblW w:w="111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215"/>
        <w:gridCol w:w="965"/>
        <w:gridCol w:w="1988"/>
        <w:gridCol w:w="207"/>
        <w:gridCol w:w="3374"/>
        <w:gridCol w:w="396"/>
        <w:gridCol w:w="1235"/>
      </w:tblGrid>
      <w:tr w:rsidR="009F40C1" w14:paraId="11628946" w14:textId="77777777">
        <w:trPr>
          <w:jc w:val="center"/>
        </w:trPr>
        <w:tc>
          <w:tcPr>
            <w:tcW w:w="11177" w:type="dxa"/>
            <w:gridSpan w:val="8"/>
          </w:tcPr>
          <w:p w14:paraId="7A43AD76" w14:textId="214D40A0" w:rsidR="009F40C1" w:rsidRPr="00FE4405" w:rsidRDefault="00276F44">
            <w:pPr>
              <w:rPr>
                <w:lang w:val="sr-Cyrl-RS"/>
              </w:rPr>
            </w:pPr>
            <w:r>
              <w:t xml:space="preserve">Студијски програм: </w:t>
            </w:r>
            <w:r w:rsidR="00FE4405">
              <w:rPr>
                <w:lang w:val="sr-Cyrl-RS"/>
              </w:rPr>
              <w:t>ОАС Немачког језика и књижевности</w:t>
            </w:r>
          </w:p>
        </w:tc>
      </w:tr>
      <w:tr w:rsidR="009F40C1" w14:paraId="7E7E2B20" w14:textId="77777777">
        <w:trPr>
          <w:jc w:val="center"/>
        </w:trPr>
        <w:tc>
          <w:tcPr>
            <w:tcW w:w="11177" w:type="dxa"/>
            <w:gridSpan w:val="8"/>
          </w:tcPr>
          <w:p w14:paraId="0C38EA38" w14:textId="77777777" w:rsidR="009F40C1" w:rsidRDefault="00276F44">
            <w:r>
              <w:t>Врста и ниво студија: Основне академске студије</w:t>
            </w:r>
          </w:p>
        </w:tc>
      </w:tr>
      <w:tr w:rsidR="009F40C1" w14:paraId="1F1E6994" w14:textId="77777777">
        <w:trPr>
          <w:jc w:val="center"/>
        </w:trPr>
        <w:tc>
          <w:tcPr>
            <w:tcW w:w="11177" w:type="dxa"/>
            <w:gridSpan w:val="8"/>
          </w:tcPr>
          <w:p w14:paraId="49496116" w14:textId="77777777" w:rsidR="009F40C1" w:rsidRDefault="00276F44">
            <w:r>
              <w:rPr>
                <w:b/>
              </w:rPr>
              <w:t>Назив предмета: Увод у педагошку психологију</w:t>
            </w:r>
          </w:p>
        </w:tc>
      </w:tr>
      <w:tr w:rsidR="009F40C1" w14:paraId="5E53A145" w14:textId="77777777">
        <w:trPr>
          <w:trHeight w:val="430"/>
          <w:jc w:val="center"/>
        </w:trPr>
        <w:tc>
          <w:tcPr>
            <w:tcW w:w="11177" w:type="dxa"/>
            <w:gridSpan w:val="8"/>
          </w:tcPr>
          <w:p w14:paraId="6CC50B69" w14:textId="77777777" w:rsidR="009F40C1" w:rsidRDefault="00276F44">
            <w:pPr>
              <w:pStyle w:val="Heading2"/>
            </w:pPr>
            <w:r>
              <w:t xml:space="preserve">Наставник: </w:t>
            </w:r>
            <w:hyperlink r:id="rId7">
              <w:r>
                <w:rPr>
                  <w:color w:val="0000FF"/>
                  <w:u w:val="single"/>
                </w:rPr>
                <w:t>Милица Н. Тошић</w:t>
              </w:r>
              <w:bookmarkStart w:id="0" w:name="_GoBack"/>
              <w:bookmarkEnd w:id="0"/>
              <w:r>
                <w:rPr>
                  <w:color w:val="0000FF"/>
                  <w:u w:val="single"/>
                </w:rPr>
                <w:t xml:space="preserve"> Радев</w:t>
              </w:r>
            </w:hyperlink>
          </w:p>
        </w:tc>
      </w:tr>
      <w:tr w:rsidR="009F40C1" w14:paraId="539548AC" w14:textId="77777777">
        <w:trPr>
          <w:jc w:val="center"/>
        </w:trPr>
        <w:tc>
          <w:tcPr>
            <w:tcW w:w="11177" w:type="dxa"/>
            <w:gridSpan w:val="8"/>
          </w:tcPr>
          <w:p w14:paraId="495EC415" w14:textId="77777777" w:rsidR="009F40C1" w:rsidRDefault="00276F44">
            <w:r>
              <w:t>Статус предмета: изборни</w:t>
            </w:r>
          </w:p>
        </w:tc>
      </w:tr>
      <w:tr w:rsidR="009F40C1" w14:paraId="43589D26" w14:textId="77777777">
        <w:trPr>
          <w:jc w:val="center"/>
        </w:trPr>
        <w:tc>
          <w:tcPr>
            <w:tcW w:w="11177" w:type="dxa"/>
            <w:gridSpan w:val="8"/>
          </w:tcPr>
          <w:p w14:paraId="2111CFAB" w14:textId="77777777" w:rsidR="009F40C1" w:rsidRDefault="00276F44">
            <w:r>
              <w:t>Број ЕСПБ: 4</w:t>
            </w:r>
          </w:p>
        </w:tc>
      </w:tr>
      <w:tr w:rsidR="009F40C1" w14:paraId="23A6B118" w14:textId="77777777">
        <w:trPr>
          <w:jc w:val="center"/>
        </w:trPr>
        <w:tc>
          <w:tcPr>
            <w:tcW w:w="11177" w:type="dxa"/>
            <w:gridSpan w:val="8"/>
          </w:tcPr>
          <w:p w14:paraId="3991A654" w14:textId="77777777" w:rsidR="009F40C1" w:rsidRDefault="00276F44">
            <w:r>
              <w:t>Услов: /</w:t>
            </w:r>
          </w:p>
        </w:tc>
      </w:tr>
      <w:tr w:rsidR="009F40C1" w14:paraId="2E63977D" w14:textId="77777777">
        <w:trPr>
          <w:jc w:val="center"/>
        </w:trPr>
        <w:tc>
          <w:tcPr>
            <w:tcW w:w="11177" w:type="dxa"/>
            <w:gridSpan w:val="8"/>
          </w:tcPr>
          <w:p w14:paraId="4CE4B19F" w14:textId="77777777" w:rsidR="009F40C1" w:rsidRDefault="00276F44">
            <w:pPr>
              <w:pStyle w:val="Heading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 xml:space="preserve">Циљ предмета </w:t>
            </w:r>
          </w:p>
          <w:p w14:paraId="7C7EFAAC" w14:textId="77777777" w:rsidR="009F40C1" w:rsidRDefault="00276F44">
            <w:pPr>
              <w:jc w:val="both"/>
            </w:pPr>
            <w:r>
              <w:t>Упознавање са најзначајнијим феноменима повезаним са школским учењем, разумевање природе међусобне повезаности различитих процеса и фактора успешности учења и препознавање трансферне вредности усвојених садржаја у професионалном ангажовању наставника</w:t>
            </w:r>
          </w:p>
        </w:tc>
      </w:tr>
      <w:tr w:rsidR="009F40C1" w14:paraId="3653F561" w14:textId="77777777">
        <w:trPr>
          <w:jc w:val="center"/>
        </w:trPr>
        <w:tc>
          <w:tcPr>
            <w:tcW w:w="11177" w:type="dxa"/>
            <w:gridSpan w:val="8"/>
          </w:tcPr>
          <w:p w14:paraId="3DB76BC1" w14:textId="77777777" w:rsidR="009F40C1" w:rsidRDefault="00276F44">
            <w:pPr>
              <w:jc w:val="both"/>
            </w:pPr>
            <w:r>
              <w:rPr>
                <w:b/>
              </w:rPr>
              <w:t>Исхо</w:t>
            </w:r>
            <w:r>
              <w:rPr>
                <w:b/>
              </w:rPr>
              <w:t xml:space="preserve">ди предмета </w:t>
            </w:r>
          </w:p>
          <w:p w14:paraId="40ADA0AF" w14:textId="77777777" w:rsidR="009F40C1" w:rsidRDefault="00276F44">
            <w:pPr>
              <w:numPr>
                <w:ilvl w:val="0"/>
                <w:numId w:val="1"/>
              </w:numPr>
              <w:jc w:val="both"/>
            </w:pPr>
            <w:r>
              <w:t xml:space="preserve">Усвајање и разумевање основних појмова педагошке психологије, способност повезивања усвојених теоријских знања са реалном школском праксом </w:t>
            </w:r>
          </w:p>
          <w:p w14:paraId="5FFA1DAF" w14:textId="77777777" w:rsidR="009F40C1" w:rsidRDefault="00276F44">
            <w:pPr>
              <w:numPr>
                <w:ilvl w:val="0"/>
                <w:numId w:val="1"/>
              </w:numPr>
              <w:jc w:val="both"/>
            </w:pPr>
            <w:r>
              <w:t>Разумевање природе процеса учења који учествују у остваривању школских постигнућа и феномена који су по</w:t>
            </w:r>
            <w:r>
              <w:t>везани са овим процесима</w:t>
            </w:r>
          </w:p>
          <w:p w14:paraId="1951A0B0" w14:textId="77777777" w:rsidR="009F40C1" w:rsidRDefault="00276F44">
            <w:pPr>
              <w:numPr>
                <w:ilvl w:val="0"/>
                <w:numId w:val="1"/>
              </w:numPr>
              <w:jc w:val="both"/>
            </w:pPr>
            <w:r>
              <w:t>Разумевање утицаја различитих фактора успешности у учењу</w:t>
            </w:r>
          </w:p>
          <w:p w14:paraId="6B8E38CE" w14:textId="77777777" w:rsidR="009F40C1" w:rsidRDefault="00276F44">
            <w:pPr>
              <w:numPr>
                <w:ilvl w:val="0"/>
                <w:numId w:val="1"/>
              </w:numPr>
              <w:jc w:val="both"/>
            </w:pPr>
            <w:r>
              <w:t>Оспособљеност за критичко преиспитивање актуелне школске праксе у светлу релевантних психолошких знања о факторима успешног учења</w:t>
            </w:r>
          </w:p>
          <w:p w14:paraId="4A2631DE" w14:textId="77777777" w:rsidR="009F40C1" w:rsidRDefault="00276F44">
            <w:pPr>
              <w:numPr>
                <w:ilvl w:val="0"/>
                <w:numId w:val="1"/>
              </w:numPr>
              <w:jc w:val="both"/>
            </w:pPr>
            <w:r>
              <w:t>Разумевање функције оцењивања у процесу наст</w:t>
            </w:r>
            <w:r>
              <w:t>аве и принципа на којима се заснивају различити облици оцењивања и евалуације образовних постигнућа</w:t>
            </w:r>
          </w:p>
        </w:tc>
      </w:tr>
      <w:tr w:rsidR="009F40C1" w14:paraId="0FA5E776" w14:textId="77777777">
        <w:trPr>
          <w:jc w:val="center"/>
        </w:trPr>
        <w:tc>
          <w:tcPr>
            <w:tcW w:w="11177" w:type="dxa"/>
            <w:gridSpan w:val="8"/>
          </w:tcPr>
          <w:p w14:paraId="4DF95B03" w14:textId="77777777" w:rsidR="009F40C1" w:rsidRDefault="00276F44">
            <w:r>
              <w:rPr>
                <w:b/>
              </w:rPr>
              <w:t>Садржај предмета</w:t>
            </w:r>
          </w:p>
          <w:p w14:paraId="72255495" w14:textId="77777777" w:rsidR="009F40C1" w:rsidRDefault="00276F44">
            <w:r>
              <w:rPr>
                <w:i/>
              </w:rPr>
              <w:t>Теоријска настава</w:t>
            </w:r>
          </w:p>
          <w:p w14:paraId="1D2AD7CF" w14:textId="77777777" w:rsidR="009F40C1" w:rsidRDefault="00276F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Предмет и проблеми педагошке психологије; методе истраживања у педагошкој психологији. 2. Учење (основни облици учења, напредовање у учењу). 3. Учење и развој. 4. Умор, формирање радних навика. 5. Методе учења (расподељено-концентрисано учење, глобално-</w:t>
            </w:r>
            <w:r>
              <w:rPr>
                <w:color w:val="000000"/>
              </w:rPr>
              <w:t xml:space="preserve">партитивно, активно). 6. Мотивација за учење. 7. Саморегулисано учење. 8. Памћење и заборављање. 9. Интелигенција и учење. 10. Трансфер учења (теорије, врсте трансфера, чиниоци који утичу на трансфер). 11. Програмирано учење. 12. Функција и облици провере </w:t>
            </w:r>
            <w:r>
              <w:rPr>
                <w:color w:val="000000"/>
              </w:rPr>
              <w:t xml:space="preserve">знања, оцењивања и евалуације образовних постигнућа. 13. Тестови знања или постигнућа. 14. Завршни преглед. </w:t>
            </w:r>
          </w:p>
        </w:tc>
      </w:tr>
      <w:tr w:rsidR="009F40C1" w14:paraId="175EF778" w14:textId="77777777">
        <w:trPr>
          <w:jc w:val="center"/>
        </w:trPr>
        <w:tc>
          <w:tcPr>
            <w:tcW w:w="11177" w:type="dxa"/>
            <w:gridSpan w:val="8"/>
          </w:tcPr>
          <w:p w14:paraId="6AAD4360" w14:textId="77777777" w:rsidR="009F40C1" w:rsidRDefault="00276F44">
            <w:r>
              <w:rPr>
                <w:b/>
              </w:rPr>
              <w:t xml:space="preserve">Литература </w:t>
            </w:r>
          </w:p>
          <w:p w14:paraId="13FEABD8" w14:textId="77777777" w:rsidR="009F40C1" w:rsidRDefault="00276F44">
            <w:pPr>
              <w:widowControl/>
              <w:numPr>
                <w:ilvl w:val="0"/>
                <w:numId w:val="2"/>
              </w:numPr>
              <w:ind w:left="465"/>
            </w:pPr>
            <w:r>
              <w:t xml:space="preserve">Лидија Вучић (1982): ПЕДАГОШКА ПСИХОЛОГИЈА, стр. 5-206 </w:t>
            </w:r>
          </w:p>
          <w:p w14:paraId="2C133B83" w14:textId="77777777" w:rsidR="009F40C1" w:rsidRDefault="00276F44">
            <w:pPr>
              <w:widowControl/>
              <w:numPr>
                <w:ilvl w:val="0"/>
                <w:numId w:val="2"/>
              </w:numPr>
              <w:ind w:left="465"/>
            </w:pPr>
            <w:r>
              <w:t xml:space="preserve">Иван Ивић: УЧЕЊЕ И РАЗВОЈ, часопис Психологија 1967/1, стр. 91-99 </w:t>
            </w:r>
          </w:p>
          <w:p w14:paraId="78DED359" w14:textId="77777777" w:rsidR="009F40C1" w:rsidRDefault="00276F44">
            <w:pPr>
              <w:widowControl/>
              <w:numPr>
                <w:ilvl w:val="0"/>
                <w:numId w:val="2"/>
              </w:numPr>
              <w:ind w:left="465"/>
            </w:pPr>
            <w:r>
              <w:t>Моник Бекер</w:t>
            </w:r>
            <w:r>
              <w:t xml:space="preserve">: САМОРЕГУЛИСАНО УЧЕЊЕ НА СПОЈУ КОГНИЦИЈЕ И МОТИВАЦИЈЕ, Психологија у свету,1997/1, стр. 44-55 </w:t>
            </w:r>
          </w:p>
        </w:tc>
      </w:tr>
      <w:tr w:rsidR="009F40C1" w14:paraId="366DAAA2" w14:textId="77777777">
        <w:trPr>
          <w:jc w:val="center"/>
        </w:trPr>
        <w:tc>
          <w:tcPr>
            <w:tcW w:w="9546" w:type="dxa"/>
            <w:gridSpan w:val="6"/>
          </w:tcPr>
          <w:p w14:paraId="31486D11" w14:textId="77777777" w:rsidR="009F40C1" w:rsidRDefault="00276F44">
            <w:r>
              <w:rPr>
                <w:b/>
              </w:rPr>
              <w:t>Број часова  активне наставе</w:t>
            </w:r>
          </w:p>
        </w:tc>
        <w:tc>
          <w:tcPr>
            <w:tcW w:w="1631" w:type="dxa"/>
            <w:gridSpan w:val="2"/>
            <w:vMerge w:val="restart"/>
          </w:tcPr>
          <w:p w14:paraId="428D010A" w14:textId="77777777" w:rsidR="009F40C1" w:rsidRDefault="00276F44">
            <w:r>
              <w:t>Остали часови:</w:t>
            </w:r>
          </w:p>
        </w:tc>
      </w:tr>
      <w:tr w:rsidR="009F40C1" w14:paraId="4F685C10" w14:textId="77777777">
        <w:trPr>
          <w:jc w:val="center"/>
        </w:trPr>
        <w:tc>
          <w:tcPr>
            <w:tcW w:w="1797" w:type="dxa"/>
          </w:tcPr>
          <w:p w14:paraId="2837E610" w14:textId="77777777" w:rsidR="009F40C1" w:rsidRDefault="00276F44">
            <w:r>
              <w:t xml:space="preserve">Предавања: </w:t>
            </w:r>
          </w:p>
          <w:p w14:paraId="0381CC28" w14:textId="77777777" w:rsidR="009F40C1" w:rsidRDefault="00276F44">
            <w:r>
              <w:t>2</w:t>
            </w:r>
          </w:p>
        </w:tc>
        <w:tc>
          <w:tcPr>
            <w:tcW w:w="1215" w:type="dxa"/>
          </w:tcPr>
          <w:p w14:paraId="2581D3EE" w14:textId="77777777" w:rsidR="009F40C1" w:rsidRDefault="00276F44">
            <w:r>
              <w:t xml:space="preserve">Вежбе: </w:t>
            </w:r>
          </w:p>
          <w:p w14:paraId="00AC0A30" w14:textId="77777777" w:rsidR="009F40C1" w:rsidRDefault="00276F44">
            <w:r>
              <w:t>0</w:t>
            </w:r>
          </w:p>
        </w:tc>
        <w:tc>
          <w:tcPr>
            <w:tcW w:w="2953" w:type="dxa"/>
            <w:gridSpan w:val="2"/>
          </w:tcPr>
          <w:p w14:paraId="630F73CE" w14:textId="77777777" w:rsidR="009F40C1" w:rsidRDefault="00276F44">
            <w:r>
              <w:t>Други облици наставе:</w:t>
            </w:r>
          </w:p>
        </w:tc>
        <w:tc>
          <w:tcPr>
            <w:tcW w:w="3581" w:type="dxa"/>
            <w:gridSpan w:val="2"/>
          </w:tcPr>
          <w:p w14:paraId="62DA91A8" w14:textId="77777777" w:rsidR="009F40C1" w:rsidRDefault="00276F44">
            <w:r>
              <w:t xml:space="preserve">Студијски истраживачки рад: </w:t>
            </w:r>
          </w:p>
          <w:p w14:paraId="7612CDF1" w14:textId="77777777" w:rsidR="009F40C1" w:rsidRDefault="009F40C1"/>
        </w:tc>
        <w:tc>
          <w:tcPr>
            <w:tcW w:w="1631" w:type="dxa"/>
            <w:gridSpan w:val="2"/>
            <w:vMerge/>
          </w:tcPr>
          <w:p w14:paraId="4A7396AE" w14:textId="77777777" w:rsidR="009F40C1" w:rsidRDefault="009F4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F40C1" w14:paraId="3E8978F3" w14:textId="77777777">
        <w:trPr>
          <w:jc w:val="center"/>
        </w:trPr>
        <w:tc>
          <w:tcPr>
            <w:tcW w:w="11177" w:type="dxa"/>
            <w:gridSpan w:val="8"/>
          </w:tcPr>
          <w:p w14:paraId="71A0BD42" w14:textId="77777777" w:rsidR="009F40C1" w:rsidRDefault="00276F44">
            <w:r>
              <w:rPr>
                <w:b/>
              </w:rPr>
              <w:t xml:space="preserve">Методе извођења наставе: </w:t>
            </w:r>
            <w:r>
              <w:t xml:space="preserve">предавања, дискусије, проблемска настава, кооперативна метода, интерактивна метода. </w:t>
            </w:r>
          </w:p>
        </w:tc>
      </w:tr>
      <w:tr w:rsidR="009F40C1" w14:paraId="6A208D61" w14:textId="77777777">
        <w:trPr>
          <w:jc w:val="center"/>
        </w:trPr>
        <w:tc>
          <w:tcPr>
            <w:tcW w:w="11177" w:type="dxa"/>
            <w:gridSpan w:val="8"/>
          </w:tcPr>
          <w:p w14:paraId="3AF1D260" w14:textId="77777777" w:rsidR="009F40C1" w:rsidRDefault="00276F44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9F40C1" w14:paraId="0FE326E1" w14:textId="77777777">
        <w:trPr>
          <w:jc w:val="center"/>
        </w:trPr>
        <w:tc>
          <w:tcPr>
            <w:tcW w:w="3977" w:type="dxa"/>
            <w:gridSpan w:val="3"/>
          </w:tcPr>
          <w:p w14:paraId="7DDCC0A4" w14:textId="77777777" w:rsidR="009F40C1" w:rsidRDefault="00276F44">
            <w:r>
              <w:rPr>
                <w:b/>
              </w:rPr>
              <w:t>Предиспитне обавезе</w:t>
            </w:r>
          </w:p>
        </w:tc>
        <w:tc>
          <w:tcPr>
            <w:tcW w:w="2195" w:type="dxa"/>
            <w:gridSpan w:val="2"/>
          </w:tcPr>
          <w:p w14:paraId="18D73DD4" w14:textId="77777777" w:rsidR="009F40C1" w:rsidRDefault="00276F44">
            <w:r>
              <w:rPr>
                <w:b/>
              </w:rPr>
              <w:t>поена</w:t>
            </w:r>
          </w:p>
        </w:tc>
        <w:tc>
          <w:tcPr>
            <w:tcW w:w="3770" w:type="dxa"/>
            <w:gridSpan w:val="2"/>
          </w:tcPr>
          <w:p w14:paraId="146BB760" w14:textId="77777777" w:rsidR="009F40C1" w:rsidRDefault="00276F44">
            <w:r>
              <w:rPr>
                <w:b/>
              </w:rPr>
              <w:t xml:space="preserve">Завршни испит </w:t>
            </w:r>
          </w:p>
        </w:tc>
        <w:tc>
          <w:tcPr>
            <w:tcW w:w="1235" w:type="dxa"/>
          </w:tcPr>
          <w:p w14:paraId="03668AB0" w14:textId="77777777" w:rsidR="009F40C1" w:rsidRDefault="00276F44">
            <w:r>
              <w:rPr>
                <w:b/>
              </w:rPr>
              <w:t>поена</w:t>
            </w:r>
          </w:p>
        </w:tc>
      </w:tr>
      <w:tr w:rsidR="009F40C1" w14:paraId="487B8C4A" w14:textId="77777777">
        <w:trPr>
          <w:jc w:val="center"/>
        </w:trPr>
        <w:tc>
          <w:tcPr>
            <w:tcW w:w="3977" w:type="dxa"/>
            <w:gridSpan w:val="3"/>
          </w:tcPr>
          <w:p w14:paraId="18574E46" w14:textId="77777777" w:rsidR="009F40C1" w:rsidRDefault="00276F44">
            <w:r>
              <w:t>активност у току предавања</w:t>
            </w:r>
          </w:p>
        </w:tc>
        <w:tc>
          <w:tcPr>
            <w:tcW w:w="2195" w:type="dxa"/>
            <w:gridSpan w:val="2"/>
          </w:tcPr>
          <w:p w14:paraId="6862804F" w14:textId="77777777" w:rsidR="009F40C1" w:rsidRDefault="00276F44">
            <w:r>
              <w:rPr>
                <w:b/>
              </w:rPr>
              <w:t>10</w:t>
            </w:r>
          </w:p>
        </w:tc>
        <w:tc>
          <w:tcPr>
            <w:tcW w:w="3770" w:type="dxa"/>
            <w:gridSpan w:val="2"/>
          </w:tcPr>
          <w:p w14:paraId="25E14F56" w14:textId="77777777" w:rsidR="009F40C1" w:rsidRDefault="00276F44">
            <w:r>
              <w:t>писмени испит</w:t>
            </w:r>
          </w:p>
        </w:tc>
        <w:tc>
          <w:tcPr>
            <w:tcW w:w="1235" w:type="dxa"/>
          </w:tcPr>
          <w:p w14:paraId="4FAD5AA7" w14:textId="77777777" w:rsidR="009F40C1" w:rsidRDefault="00276F44">
            <w:r>
              <w:rPr>
                <w:i/>
              </w:rPr>
              <w:t>30</w:t>
            </w:r>
          </w:p>
        </w:tc>
      </w:tr>
      <w:tr w:rsidR="009F40C1" w14:paraId="548E5E1F" w14:textId="77777777">
        <w:trPr>
          <w:jc w:val="center"/>
        </w:trPr>
        <w:tc>
          <w:tcPr>
            <w:tcW w:w="3977" w:type="dxa"/>
            <w:gridSpan w:val="3"/>
          </w:tcPr>
          <w:p w14:paraId="46C1C1A2" w14:textId="77777777" w:rsidR="009F40C1" w:rsidRDefault="00276F44">
            <w:r>
              <w:t>колоквијум-и</w:t>
            </w:r>
          </w:p>
        </w:tc>
        <w:tc>
          <w:tcPr>
            <w:tcW w:w="2195" w:type="dxa"/>
            <w:gridSpan w:val="2"/>
          </w:tcPr>
          <w:p w14:paraId="122E3A06" w14:textId="77777777" w:rsidR="009F40C1" w:rsidRDefault="00276F44">
            <w:r>
              <w:rPr>
                <w:b/>
              </w:rPr>
              <w:t>30</w:t>
            </w:r>
          </w:p>
        </w:tc>
        <w:tc>
          <w:tcPr>
            <w:tcW w:w="3770" w:type="dxa"/>
            <w:gridSpan w:val="2"/>
          </w:tcPr>
          <w:p w14:paraId="1274A750" w14:textId="77777777" w:rsidR="009F40C1" w:rsidRDefault="00276F44">
            <w:r>
              <w:t>усмени испит</w:t>
            </w:r>
          </w:p>
        </w:tc>
        <w:tc>
          <w:tcPr>
            <w:tcW w:w="1235" w:type="dxa"/>
          </w:tcPr>
          <w:p w14:paraId="20436535" w14:textId="77777777" w:rsidR="009F40C1" w:rsidRDefault="00276F44">
            <w:r>
              <w:rPr>
                <w:i/>
              </w:rPr>
              <w:t>30</w:t>
            </w:r>
          </w:p>
        </w:tc>
      </w:tr>
      <w:tr w:rsidR="009F40C1" w14:paraId="0734568B" w14:textId="77777777">
        <w:trPr>
          <w:jc w:val="center"/>
        </w:trPr>
        <w:tc>
          <w:tcPr>
            <w:tcW w:w="3977" w:type="dxa"/>
            <w:gridSpan w:val="3"/>
          </w:tcPr>
          <w:p w14:paraId="74BDAA1E" w14:textId="77777777" w:rsidR="009F40C1" w:rsidRDefault="009F40C1"/>
        </w:tc>
        <w:tc>
          <w:tcPr>
            <w:tcW w:w="2195" w:type="dxa"/>
            <w:gridSpan w:val="2"/>
          </w:tcPr>
          <w:p w14:paraId="2B343F74" w14:textId="77777777" w:rsidR="009F40C1" w:rsidRDefault="009F40C1"/>
        </w:tc>
        <w:tc>
          <w:tcPr>
            <w:tcW w:w="3770" w:type="dxa"/>
            <w:gridSpan w:val="2"/>
          </w:tcPr>
          <w:p w14:paraId="0E73170A" w14:textId="77777777" w:rsidR="009F40C1" w:rsidRDefault="009F40C1"/>
        </w:tc>
        <w:tc>
          <w:tcPr>
            <w:tcW w:w="1235" w:type="dxa"/>
          </w:tcPr>
          <w:p w14:paraId="7047A290" w14:textId="77777777" w:rsidR="009F40C1" w:rsidRDefault="009F40C1"/>
        </w:tc>
      </w:tr>
    </w:tbl>
    <w:p w14:paraId="7DE8B915" w14:textId="77777777" w:rsidR="009F40C1" w:rsidRDefault="009F40C1"/>
    <w:sectPr w:rsidR="009F4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D25AB" w14:textId="77777777" w:rsidR="00276F44" w:rsidRDefault="00276F44">
      <w:r>
        <w:separator/>
      </w:r>
    </w:p>
  </w:endnote>
  <w:endnote w:type="continuationSeparator" w:id="0">
    <w:p w14:paraId="6C7DE3BB" w14:textId="77777777" w:rsidR="00276F44" w:rsidRDefault="0027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43820" w14:textId="77777777" w:rsidR="009F40C1" w:rsidRDefault="009F40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76897" w14:textId="77777777" w:rsidR="009F40C1" w:rsidRDefault="00276F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91423" w14:textId="77777777" w:rsidR="009F40C1" w:rsidRDefault="009F40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4C624" w14:textId="77777777" w:rsidR="00276F44" w:rsidRDefault="00276F44">
      <w:r>
        <w:separator/>
      </w:r>
    </w:p>
  </w:footnote>
  <w:footnote w:type="continuationSeparator" w:id="0">
    <w:p w14:paraId="1E2F657D" w14:textId="77777777" w:rsidR="00276F44" w:rsidRDefault="00276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CF56" w14:textId="77777777" w:rsidR="009F40C1" w:rsidRDefault="009F40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CA05" w14:textId="77777777" w:rsidR="009F40C1" w:rsidRDefault="00276F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9F40C1" w14:paraId="69A786CB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755DEA9" w14:textId="77777777" w:rsidR="009F40C1" w:rsidRDefault="00276F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3738F744" wp14:editId="1F72A9E5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44BBFC0" w14:textId="77777777" w:rsidR="009F40C1" w:rsidRDefault="00276F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9081819" w14:textId="77777777" w:rsidR="009F40C1" w:rsidRDefault="00276F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6691278F" w14:textId="77777777" w:rsidR="009F40C1" w:rsidRDefault="00276F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CEC86E5" wp14:editId="68FFA45B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F40C1" w14:paraId="5938EB22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AEAFE86" w14:textId="77777777" w:rsidR="009F40C1" w:rsidRDefault="009F40C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4334049" w14:textId="77777777" w:rsidR="009F40C1" w:rsidRDefault="00276F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D35EFAF" w14:textId="77777777" w:rsidR="009F40C1" w:rsidRDefault="009F40C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9F40C1" w14:paraId="7052117B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7A15A07" w14:textId="77777777" w:rsidR="009F40C1" w:rsidRDefault="009F40C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407C737" w14:textId="7AB7D5DF" w:rsidR="009F40C1" w:rsidRPr="00FE4405" w:rsidRDefault="00FE440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</w:t>
          </w:r>
          <w:r w:rsidR="00276F44">
            <w:rPr>
              <w:b/>
              <w:color w:val="333399"/>
              <w:sz w:val="24"/>
              <w:szCs w:val="24"/>
            </w:rPr>
            <w:t xml:space="preserve"> језик и књижевност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(ОАС)</w:t>
          </w:r>
        </w:p>
      </w:tc>
      <w:tc>
        <w:tcPr>
          <w:tcW w:w="1656" w:type="dxa"/>
          <w:vMerge/>
          <w:vAlign w:val="center"/>
        </w:tcPr>
        <w:p w14:paraId="39724872" w14:textId="77777777" w:rsidR="009F40C1" w:rsidRDefault="009F40C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775943F" w14:textId="77777777" w:rsidR="009F40C1" w:rsidRDefault="00276F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E244F" w14:textId="77777777" w:rsidR="009F40C1" w:rsidRDefault="009F40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46756"/>
    <w:multiLevelType w:val="multilevel"/>
    <w:tmpl w:val="5AE0AAA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6CE84CE0"/>
    <w:multiLevelType w:val="multilevel"/>
    <w:tmpl w:val="DA1604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C1"/>
    <w:rsid w:val="00276F44"/>
    <w:rsid w:val="009F40C1"/>
    <w:rsid w:val="00FE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C1304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widowControl/>
      <w:jc w:val="both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../../Tabele%20standarda%209/Tabele%209.1/Milica%20Tosic%20Radev.do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2024-09-08T19:06:00Z</dcterms:created>
  <dcterms:modified xsi:type="dcterms:W3CDTF">2024-09-08T19:07:00Z</dcterms:modified>
</cp:coreProperties>
</file>