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4AF" w:rsidRDefault="007B7F91">
      <w:pPr>
        <w:pStyle w:val="Normal1"/>
        <w:jc w:val="center"/>
        <w:rPr>
          <w:lang w:val="sr-Cyrl-RS"/>
        </w:rPr>
      </w:pPr>
      <w:r>
        <w:rPr>
          <w:b/>
        </w:rPr>
        <w:t>Табела 5.2.</w:t>
      </w:r>
      <w:r>
        <w:t xml:space="preserve"> Спецификација предмета</w:t>
      </w:r>
    </w:p>
    <w:p w:rsidR="001266DA" w:rsidRPr="001266DA" w:rsidRDefault="001266DA">
      <w:pPr>
        <w:pStyle w:val="Normal1"/>
        <w:jc w:val="center"/>
        <w:rPr>
          <w:lang w:val="sr-Cyrl-RS"/>
        </w:rPr>
      </w:pPr>
    </w:p>
    <w:tbl>
      <w:tblPr>
        <w:tblStyle w:val="a"/>
        <w:tblW w:w="1010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46"/>
        <w:gridCol w:w="1960"/>
        <w:gridCol w:w="1175"/>
        <w:gridCol w:w="2048"/>
        <w:gridCol w:w="1774"/>
      </w:tblGrid>
      <w:tr w:rsidR="000944AF">
        <w:trPr>
          <w:cantSplit/>
          <w:trHeight w:val="227"/>
          <w:tblHeader/>
          <w:jc w:val="center"/>
        </w:trPr>
        <w:tc>
          <w:tcPr>
            <w:tcW w:w="10103" w:type="dxa"/>
            <w:gridSpan w:val="5"/>
          </w:tcPr>
          <w:p w:rsidR="000944AF" w:rsidRDefault="007B7F91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Врста и ниво студија: </w:t>
            </w:r>
            <w:r w:rsidR="009811E6">
              <w:t>Основне академске студије социјалне политике и социјалног рада</w:t>
            </w:r>
          </w:p>
        </w:tc>
      </w:tr>
      <w:tr w:rsidR="000944AF">
        <w:trPr>
          <w:cantSplit/>
          <w:trHeight w:val="227"/>
          <w:tblHeader/>
          <w:jc w:val="center"/>
        </w:trPr>
        <w:tc>
          <w:tcPr>
            <w:tcW w:w="10103" w:type="dxa"/>
            <w:gridSpan w:val="5"/>
          </w:tcPr>
          <w:p w:rsidR="000944AF" w:rsidRDefault="007B7F91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</w:rPr>
              <w:t>Назив предмета: Теорија афективне везаности и траума</w:t>
            </w:r>
          </w:p>
        </w:tc>
      </w:tr>
      <w:tr w:rsidR="000944AF">
        <w:trPr>
          <w:cantSplit/>
          <w:trHeight w:val="227"/>
          <w:tblHeader/>
          <w:jc w:val="center"/>
        </w:trPr>
        <w:tc>
          <w:tcPr>
            <w:tcW w:w="10103" w:type="dxa"/>
            <w:gridSpan w:val="5"/>
          </w:tcPr>
          <w:p w:rsidR="000944AF" w:rsidRDefault="007B7F91" w:rsidP="001266DA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bookmarkStart w:id="0" w:name="_gjdgxs" w:colFirst="0" w:colLast="0"/>
            <w:bookmarkEnd w:id="0"/>
            <w:r>
              <w:rPr>
                <w:b/>
                <w:color w:val="000000"/>
              </w:rPr>
              <w:t>Наставни</w:t>
            </w:r>
            <w:r w:rsidR="001266DA">
              <w:rPr>
                <w:b/>
                <w:color w:val="000000"/>
                <w:lang w:val="sr-Cyrl-RS"/>
              </w:rPr>
              <w:t>ци:</w:t>
            </w:r>
            <w:r w:rsidR="001266DA" w:rsidRPr="001266DA">
              <w:rPr>
                <w:lang w:val="sr-Cyrl-RS"/>
              </w:rPr>
              <w:t xml:space="preserve"> </w:t>
            </w:r>
            <w:hyperlink r:id="rId7">
              <w:r w:rsidRPr="001266DA">
                <w:t>Татјана З. Стефановић Станојевић</w:t>
              </w:r>
            </w:hyperlink>
            <w:r w:rsidRPr="001266DA">
              <w:t xml:space="preserve">, </w:t>
            </w:r>
            <w:hyperlink r:id="rId8">
              <w:r w:rsidRPr="001266DA">
                <w:t>Милица Тошић Радев</w:t>
              </w:r>
            </w:hyperlink>
          </w:p>
        </w:tc>
      </w:tr>
      <w:tr w:rsidR="000944AF">
        <w:trPr>
          <w:cantSplit/>
          <w:trHeight w:val="227"/>
          <w:tblHeader/>
          <w:jc w:val="center"/>
        </w:trPr>
        <w:tc>
          <w:tcPr>
            <w:tcW w:w="10103" w:type="dxa"/>
            <w:gridSpan w:val="5"/>
            <w:vAlign w:val="center"/>
          </w:tcPr>
          <w:p w:rsidR="000944AF" w:rsidRDefault="007B7F91">
            <w:pPr>
              <w:pStyle w:val="Normal1"/>
              <w:tabs>
                <w:tab w:val="left" w:pos="567"/>
              </w:tabs>
              <w:spacing w:before="40" w:after="40"/>
            </w:pPr>
            <w:r>
              <w:rPr>
                <w:b/>
              </w:rPr>
              <w:t>Статус предмета: Изборни</w:t>
            </w:r>
          </w:p>
        </w:tc>
      </w:tr>
      <w:tr w:rsidR="000944AF">
        <w:trPr>
          <w:cantSplit/>
          <w:trHeight w:val="227"/>
          <w:tblHeader/>
          <w:jc w:val="center"/>
        </w:trPr>
        <w:tc>
          <w:tcPr>
            <w:tcW w:w="10103" w:type="dxa"/>
            <w:gridSpan w:val="5"/>
            <w:vAlign w:val="center"/>
          </w:tcPr>
          <w:p w:rsidR="000944AF" w:rsidRDefault="007B7F91">
            <w:pPr>
              <w:pStyle w:val="Normal1"/>
              <w:tabs>
                <w:tab w:val="left" w:pos="567"/>
              </w:tabs>
              <w:spacing w:before="40" w:after="40"/>
            </w:pPr>
            <w:r>
              <w:rPr>
                <w:b/>
              </w:rPr>
              <w:t>Број ЕСПБ: 5</w:t>
            </w:r>
          </w:p>
        </w:tc>
      </w:tr>
      <w:tr w:rsidR="000944AF">
        <w:trPr>
          <w:cantSplit/>
          <w:trHeight w:val="227"/>
          <w:tblHeader/>
          <w:jc w:val="center"/>
        </w:trPr>
        <w:tc>
          <w:tcPr>
            <w:tcW w:w="10103" w:type="dxa"/>
            <w:gridSpan w:val="5"/>
            <w:vAlign w:val="center"/>
          </w:tcPr>
          <w:p w:rsidR="000944AF" w:rsidRDefault="007B7F91">
            <w:pPr>
              <w:pStyle w:val="Normal1"/>
              <w:tabs>
                <w:tab w:val="left" w:pos="567"/>
              </w:tabs>
              <w:spacing w:before="40" w:after="40"/>
            </w:pPr>
            <w:r>
              <w:rPr>
                <w:b/>
              </w:rPr>
              <w:t>Услов: Одслушан курс Теорије емоционалног равоја</w:t>
            </w:r>
          </w:p>
        </w:tc>
      </w:tr>
      <w:tr w:rsidR="000944AF">
        <w:trPr>
          <w:cantSplit/>
          <w:trHeight w:val="227"/>
          <w:tblHeader/>
          <w:jc w:val="center"/>
        </w:trPr>
        <w:tc>
          <w:tcPr>
            <w:tcW w:w="10103" w:type="dxa"/>
            <w:gridSpan w:val="5"/>
          </w:tcPr>
          <w:p w:rsidR="000944AF" w:rsidRDefault="007B7F91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</w:rPr>
              <w:t>Циљ предмета</w:t>
            </w:r>
          </w:p>
          <w:p w:rsidR="000944AF" w:rsidRDefault="007B7F91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Циљ предмета је да студенти усвоје потребна теоријска знања о факторима који доприносе раној трауматизованости, затим да буду упознати са конкретним техникама дијагностификовања трауматизоване деце и коначно вештинама интервенисања у правцу отклањања ефеката ране трауме. </w:t>
            </w:r>
          </w:p>
        </w:tc>
      </w:tr>
      <w:tr w:rsidR="000944AF">
        <w:trPr>
          <w:cantSplit/>
          <w:trHeight w:val="227"/>
          <w:tblHeader/>
          <w:jc w:val="center"/>
        </w:trPr>
        <w:tc>
          <w:tcPr>
            <w:tcW w:w="10103" w:type="dxa"/>
            <w:gridSpan w:val="5"/>
          </w:tcPr>
          <w:p w:rsidR="000944AF" w:rsidRDefault="007B7F91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</w:rPr>
              <w:t xml:space="preserve">Исход предмета </w:t>
            </w:r>
          </w:p>
          <w:p w:rsidR="000944AF" w:rsidRDefault="007B7F91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Студенти се оспособљавају да дијагностификују трауматизованост деце и одраслих, као и да примењују вештине потребне у отклањању ефеката трауме.  Оваква знања имају широк дијапазон примене, од институција социјалног рада, преко школа и обданишта до психотерапијског рада са клијентима.</w:t>
            </w:r>
          </w:p>
        </w:tc>
      </w:tr>
      <w:tr w:rsidR="000944AF">
        <w:trPr>
          <w:cantSplit/>
          <w:trHeight w:val="227"/>
          <w:tblHeader/>
          <w:jc w:val="center"/>
        </w:trPr>
        <w:tc>
          <w:tcPr>
            <w:tcW w:w="10103" w:type="dxa"/>
            <w:gridSpan w:val="5"/>
          </w:tcPr>
          <w:p w:rsidR="000944AF" w:rsidRDefault="007B7F91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Садржај предмета</w:t>
            </w:r>
          </w:p>
          <w:p w:rsidR="000944AF" w:rsidRDefault="007B7F91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Теоријска настава</w:t>
            </w:r>
          </w:p>
          <w:p w:rsidR="000944AF" w:rsidRDefault="000944A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  <w:p w:rsidR="000944AF" w:rsidRDefault="007B7F91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1.  Психолошка траума и начин реаговања на страх код деце и одраслих. 2. Страх без решења: метафора за настанак дезорганизованог обрасца 3. Емпиријски подаци о учесталости дезорганизованог обрасца у свету и у домаћој средини. 4. Теорија афективне везаности као шири оквир за разумевање дезорганизованог обрасца. 5. Динамика настанка обрасца дезорганизоване афективне везаности  (метафоре драмског троугла и трчања ка спасиоцу) 6. Дезорганизована афективна везаност код одраслих 7. Дезорганизовани образац као окидач за настанак дијагноза и кривичних радњи (дисоцијативни поремећај личности, ПТСД, биполарни поремећај личности, али и чињење тешких прекршаја, убистава и силовања у одраслом добу). 8.Технике којима се процењују обрасци деце са нагласком на дезорганизованом обрасцу (Страна ситуација, AQS, AEED..). 9. Технике за процењивање дезорганизованог обрасца адолесцената и одраслих (AAI, AAP, UPIPAV..) 10. Траума и дисоцијација као мехнизам одбране 12. Капацитет за ментализацију као алат за ношење са траумом 13. Технике за процену трауме, дисоцијације и ментализације 14. Програми терапијских интервенција у свету (Assesment of Disorganised Attachment and Maltreatment) и код нас (СЕП - Сигурност, Емоције, Промена). 15. Евалуација програма.</w:t>
            </w:r>
          </w:p>
          <w:p w:rsidR="000944AF" w:rsidRDefault="000944A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  <w:p w:rsidR="000944AF" w:rsidRDefault="007B7F91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 xml:space="preserve">Практична настава. </w:t>
            </w:r>
            <w:r>
              <w:rPr>
                <w:color w:val="000000"/>
              </w:rPr>
              <w:t>Студенти су у обавези да израде један протокол применом техника обрађених на настави у сагледавању потенцијално трауматизованог детета</w:t>
            </w:r>
          </w:p>
        </w:tc>
      </w:tr>
      <w:tr w:rsidR="000944AF">
        <w:trPr>
          <w:cantSplit/>
          <w:trHeight w:val="227"/>
          <w:tblHeader/>
          <w:jc w:val="center"/>
        </w:trPr>
        <w:tc>
          <w:tcPr>
            <w:tcW w:w="10103" w:type="dxa"/>
            <w:gridSpan w:val="5"/>
          </w:tcPr>
          <w:p w:rsidR="000944AF" w:rsidRDefault="007B7F91">
            <w:pPr>
              <w:pStyle w:val="Normal1"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420" w:hanging="720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      Литература </w:t>
            </w:r>
          </w:p>
          <w:p w:rsidR="000944AF" w:rsidRDefault="007B7F91">
            <w:pPr>
              <w:pStyle w:val="Normal1"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420" w:hanging="720"/>
              <w:jc w:val="both"/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  <w:p w:rsidR="000944AF" w:rsidRDefault="007B7F91">
            <w:pPr>
              <w:pStyle w:val="Normal1"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1. Стефановић Станојевић, Т., Тошић Радев, М., Богдановић, А. (2018). </w:t>
            </w:r>
            <w:r>
              <w:rPr>
                <w:i/>
                <w:color w:val="000000"/>
              </w:rPr>
              <w:t>Страх је најгоре место: студија о трауми из угла теорије афективне везаности</w:t>
            </w:r>
            <w:r>
              <w:rPr>
                <w:color w:val="000000"/>
              </w:rPr>
              <w:t>. Центар за примењену психологију (12-85)</w:t>
            </w:r>
          </w:p>
          <w:p w:rsidR="000944AF" w:rsidRDefault="007B7F91">
            <w:pPr>
              <w:pStyle w:val="Normal1"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2. Мировић, Т., Томашевић, М. (2019). </w:t>
            </w:r>
            <w:r>
              <w:rPr>
                <w:i/>
                <w:color w:val="000000"/>
              </w:rPr>
              <w:t>Траума наша прича</w:t>
            </w:r>
            <w:r>
              <w:rPr>
                <w:color w:val="000000"/>
              </w:rPr>
              <w:t>. Центар за схема терапију (493-553).</w:t>
            </w:r>
          </w:p>
          <w:p w:rsidR="000944AF" w:rsidRDefault="000944AF">
            <w:pPr>
              <w:pStyle w:val="Normal1"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color w:val="000000"/>
              </w:rPr>
            </w:pPr>
          </w:p>
          <w:p w:rsidR="000944AF" w:rsidRDefault="007B7F91">
            <w:pPr>
              <w:pStyle w:val="Normal1"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color w:val="000000"/>
              </w:rPr>
            </w:pPr>
            <w:r>
              <w:rPr>
                <w:color w:val="000000"/>
              </w:rPr>
              <w:t>Додатна литература:</w:t>
            </w:r>
          </w:p>
          <w:p w:rsidR="000944AF" w:rsidRDefault="007B7F91">
            <w:pPr>
              <w:pStyle w:val="Normal1"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Стефановић Станојевић, Т., Тошић Радев, М., Богдановић, А. (2018). </w:t>
            </w:r>
            <w:r>
              <w:rPr>
                <w:i/>
                <w:color w:val="000000"/>
              </w:rPr>
              <w:t>Страх је најгоре место: студија о трауми из угла теорије афективне везаности</w:t>
            </w:r>
            <w:r>
              <w:rPr>
                <w:color w:val="000000"/>
              </w:rPr>
              <w:t>. Центар за примењену психологију (86-248)</w:t>
            </w:r>
          </w:p>
        </w:tc>
      </w:tr>
      <w:tr w:rsidR="000944AF">
        <w:trPr>
          <w:cantSplit/>
          <w:trHeight w:val="227"/>
          <w:tblHeader/>
          <w:jc w:val="center"/>
        </w:trPr>
        <w:tc>
          <w:tcPr>
            <w:tcW w:w="3146" w:type="dxa"/>
            <w:vAlign w:val="center"/>
          </w:tcPr>
          <w:p w:rsidR="000944AF" w:rsidRDefault="007B7F91">
            <w:pPr>
              <w:pStyle w:val="Normal1"/>
              <w:tabs>
                <w:tab w:val="left" w:pos="567"/>
              </w:tabs>
              <w:spacing w:after="60"/>
            </w:pPr>
            <w:r>
              <w:rPr>
                <w:b/>
              </w:rPr>
              <w:t>Број часова  активне наставе</w:t>
            </w:r>
          </w:p>
        </w:tc>
        <w:tc>
          <w:tcPr>
            <w:tcW w:w="3135" w:type="dxa"/>
            <w:gridSpan w:val="2"/>
            <w:vAlign w:val="center"/>
          </w:tcPr>
          <w:p w:rsidR="000944AF" w:rsidRDefault="007B7F91">
            <w:pPr>
              <w:pStyle w:val="Normal1"/>
              <w:tabs>
                <w:tab w:val="left" w:pos="567"/>
              </w:tabs>
              <w:spacing w:after="60"/>
            </w:pPr>
            <w:r>
              <w:rPr>
                <w:b/>
              </w:rPr>
              <w:t>Теоријска настава:</w:t>
            </w:r>
            <w:r w:rsidR="00183C64">
              <w:rPr>
                <w:b/>
              </w:rPr>
              <w:t xml:space="preserve"> </w:t>
            </w:r>
            <w:r>
              <w:rPr>
                <w:b/>
              </w:rPr>
              <w:t>2</w:t>
            </w:r>
          </w:p>
        </w:tc>
        <w:tc>
          <w:tcPr>
            <w:tcW w:w="3822" w:type="dxa"/>
            <w:gridSpan w:val="2"/>
            <w:vAlign w:val="center"/>
          </w:tcPr>
          <w:p w:rsidR="000944AF" w:rsidRDefault="007B7F91">
            <w:pPr>
              <w:pStyle w:val="Normal1"/>
              <w:tabs>
                <w:tab w:val="left" w:pos="567"/>
              </w:tabs>
              <w:spacing w:after="60"/>
            </w:pPr>
            <w:r>
              <w:rPr>
                <w:b/>
              </w:rPr>
              <w:t>Практична настава:</w:t>
            </w:r>
            <w:r w:rsidR="00183C64">
              <w:rPr>
                <w:b/>
              </w:rPr>
              <w:t xml:space="preserve"> </w:t>
            </w:r>
            <w:r>
              <w:rPr>
                <w:b/>
              </w:rPr>
              <w:t>2</w:t>
            </w:r>
          </w:p>
        </w:tc>
      </w:tr>
      <w:tr w:rsidR="000944AF">
        <w:trPr>
          <w:cantSplit/>
          <w:trHeight w:val="227"/>
          <w:tblHeader/>
          <w:jc w:val="center"/>
        </w:trPr>
        <w:tc>
          <w:tcPr>
            <w:tcW w:w="10103" w:type="dxa"/>
            <w:gridSpan w:val="5"/>
            <w:vAlign w:val="center"/>
          </w:tcPr>
          <w:p w:rsidR="000944AF" w:rsidRDefault="007B7F91">
            <w:pPr>
              <w:pStyle w:val="Normal1"/>
              <w:tabs>
                <w:tab w:val="left" w:pos="567"/>
              </w:tabs>
              <w:spacing w:after="60"/>
            </w:pPr>
            <w:r>
              <w:rPr>
                <w:b/>
              </w:rPr>
              <w:t>Методе извођења наставе</w:t>
            </w:r>
          </w:p>
          <w:p w:rsidR="000944AF" w:rsidRDefault="007B7F91">
            <w:pPr>
              <w:pStyle w:val="Normal1"/>
              <w:tabs>
                <w:tab w:val="left" w:pos="567"/>
              </w:tabs>
              <w:spacing w:after="60"/>
            </w:pPr>
            <w:r>
              <w:t>Интерактивна предавања, дискусије, дебата, анализа случајева, рад у групи</w:t>
            </w:r>
          </w:p>
        </w:tc>
      </w:tr>
      <w:tr w:rsidR="000944AF">
        <w:trPr>
          <w:cantSplit/>
          <w:trHeight w:val="227"/>
          <w:tblHeader/>
          <w:jc w:val="center"/>
        </w:trPr>
        <w:tc>
          <w:tcPr>
            <w:tcW w:w="10103" w:type="dxa"/>
            <w:gridSpan w:val="5"/>
            <w:vAlign w:val="center"/>
          </w:tcPr>
          <w:p w:rsidR="000944AF" w:rsidRDefault="007B7F91">
            <w:pPr>
              <w:pStyle w:val="Normal1"/>
              <w:tabs>
                <w:tab w:val="left" w:pos="567"/>
              </w:tabs>
              <w:spacing w:after="60"/>
            </w:pPr>
            <w:r>
              <w:rPr>
                <w:b/>
              </w:rPr>
              <w:t>Оцена знања (максимални број поена 100)</w:t>
            </w:r>
          </w:p>
        </w:tc>
      </w:tr>
      <w:tr w:rsidR="000944AF">
        <w:trPr>
          <w:cantSplit/>
          <w:trHeight w:val="227"/>
          <w:tblHeader/>
          <w:jc w:val="center"/>
        </w:trPr>
        <w:tc>
          <w:tcPr>
            <w:tcW w:w="3146" w:type="dxa"/>
            <w:vAlign w:val="center"/>
          </w:tcPr>
          <w:p w:rsidR="000944AF" w:rsidRDefault="007B7F91">
            <w:pPr>
              <w:pStyle w:val="Normal1"/>
              <w:tabs>
                <w:tab w:val="left" w:pos="567"/>
              </w:tabs>
              <w:spacing w:after="60"/>
            </w:pPr>
            <w:r>
              <w:rPr>
                <w:b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:rsidR="000944AF" w:rsidRDefault="007B7F91" w:rsidP="001266DA">
            <w:pPr>
              <w:pStyle w:val="Normal1"/>
              <w:tabs>
                <w:tab w:val="left" w:pos="567"/>
              </w:tabs>
              <w:spacing w:after="60"/>
            </w:pPr>
            <w:r>
              <w:t>поена</w:t>
            </w:r>
          </w:p>
        </w:tc>
        <w:tc>
          <w:tcPr>
            <w:tcW w:w="3223" w:type="dxa"/>
            <w:gridSpan w:val="2"/>
            <w:vAlign w:val="center"/>
          </w:tcPr>
          <w:p w:rsidR="000944AF" w:rsidRDefault="007B7F91">
            <w:pPr>
              <w:pStyle w:val="Normal1"/>
              <w:tabs>
                <w:tab w:val="left" w:pos="567"/>
              </w:tabs>
              <w:spacing w:after="60"/>
            </w:pPr>
            <w:r>
              <w:rPr>
                <w:b/>
              </w:rPr>
              <w:t xml:space="preserve">Завршни испит </w:t>
            </w:r>
          </w:p>
        </w:tc>
        <w:tc>
          <w:tcPr>
            <w:tcW w:w="1774" w:type="dxa"/>
            <w:vAlign w:val="center"/>
          </w:tcPr>
          <w:p w:rsidR="000944AF" w:rsidRDefault="007B7F91">
            <w:pPr>
              <w:pStyle w:val="Normal1"/>
              <w:tabs>
                <w:tab w:val="left" w:pos="567"/>
              </w:tabs>
              <w:spacing w:after="60"/>
            </w:pPr>
            <w:r>
              <w:t>поена</w:t>
            </w:r>
          </w:p>
        </w:tc>
      </w:tr>
      <w:tr w:rsidR="000944AF">
        <w:trPr>
          <w:cantSplit/>
          <w:trHeight w:val="227"/>
          <w:tblHeader/>
          <w:jc w:val="center"/>
        </w:trPr>
        <w:tc>
          <w:tcPr>
            <w:tcW w:w="3146" w:type="dxa"/>
            <w:vAlign w:val="center"/>
          </w:tcPr>
          <w:p w:rsidR="000944AF" w:rsidRDefault="007B7F91">
            <w:pPr>
              <w:pStyle w:val="Normal1"/>
              <w:tabs>
                <w:tab w:val="left" w:pos="567"/>
              </w:tabs>
              <w:spacing w:after="60"/>
            </w:pPr>
            <w:r>
              <w:t>активност у току предавања</w:t>
            </w:r>
          </w:p>
        </w:tc>
        <w:tc>
          <w:tcPr>
            <w:tcW w:w="1960" w:type="dxa"/>
            <w:vAlign w:val="center"/>
          </w:tcPr>
          <w:p w:rsidR="000944AF" w:rsidRDefault="007B7F91">
            <w:pPr>
              <w:pStyle w:val="Normal1"/>
              <w:tabs>
                <w:tab w:val="left" w:pos="567"/>
              </w:tabs>
              <w:spacing w:after="60"/>
            </w:pPr>
            <w:r>
              <w:rPr>
                <w:b/>
              </w:rPr>
              <w:t>10</w:t>
            </w:r>
            <w:bookmarkStart w:id="1" w:name="_GoBack"/>
            <w:bookmarkEnd w:id="1"/>
          </w:p>
        </w:tc>
        <w:tc>
          <w:tcPr>
            <w:tcW w:w="3223" w:type="dxa"/>
            <w:gridSpan w:val="2"/>
            <w:vAlign w:val="center"/>
          </w:tcPr>
          <w:p w:rsidR="000944AF" w:rsidRDefault="007B7F91">
            <w:pPr>
              <w:pStyle w:val="Normal1"/>
              <w:tabs>
                <w:tab w:val="left" w:pos="567"/>
              </w:tabs>
              <w:spacing w:after="60"/>
            </w:pPr>
            <w:r>
              <w:t>писмени испит</w:t>
            </w:r>
          </w:p>
        </w:tc>
        <w:tc>
          <w:tcPr>
            <w:tcW w:w="1774" w:type="dxa"/>
            <w:vAlign w:val="center"/>
          </w:tcPr>
          <w:p w:rsidR="000944AF" w:rsidRPr="00183C64" w:rsidRDefault="007B7F91">
            <w:pPr>
              <w:pStyle w:val="Normal1"/>
              <w:tabs>
                <w:tab w:val="left" w:pos="567"/>
              </w:tabs>
              <w:spacing w:after="60"/>
              <w:rPr>
                <w:b/>
              </w:rPr>
            </w:pPr>
            <w:r w:rsidRPr="00183C64">
              <w:rPr>
                <w:b/>
              </w:rPr>
              <w:t>30</w:t>
            </w:r>
          </w:p>
        </w:tc>
      </w:tr>
      <w:tr w:rsidR="000944AF">
        <w:trPr>
          <w:cantSplit/>
          <w:trHeight w:val="227"/>
          <w:tblHeader/>
          <w:jc w:val="center"/>
        </w:trPr>
        <w:tc>
          <w:tcPr>
            <w:tcW w:w="3146" w:type="dxa"/>
            <w:vAlign w:val="center"/>
          </w:tcPr>
          <w:p w:rsidR="000944AF" w:rsidRDefault="007B7F91">
            <w:pPr>
              <w:pStyle w:val="Normal1"/>
              <w:tabs>
                <w:tab w:val="left" w:pos="567"/>
              </w:tabs>
              <w:spacing w:after="60"/>
            </w:pPr>
            <w:r>
              <w:t>практична настава</w:t>
            </w:r>
          </w:p>
        </w:tc>
        <w:tc>
          <w:tcPr>
            <w:tcW w:w="1960" w:type="dxa"/>
            <w:vAlign w:val="center"/>
          </w:tcPr>
          <w:p w:rsidR="000944AF" w:rsidRDefault="007B7F91">
            <w:pPr>
              <w:pStyle w:val="Normal1"/>
              <w:tabs>
                <w:tab w:val="left" w:pos="567"/>
              </w:tabs>
              <w:spacing w:after="60"/>
            </w:pPr>
            <w:r>
              <w:rPr>
                <w:b/>
              </w:rPr>
              <w:t>20</w:t>
            </w:r>
          </w:p>
        </w:tc>
        <w:tc>
          <w:tcPr>
            <w:tcW w:w="3223" w:type="dxa"/>
            <w:gridSpan w:val="2"/>
            <w:vAlign w:val="center"/>
          </w:tcPr>
          <w:p w:rsidR="000944AF" w:rsidRDefault="007B7F91">
            <w:pPr>
              <w:pStyle w:val="Normal1"/>
              <w:tabs>
                <w:tab w:val="left" w:pos="567"/>
              </w:tabs>
              <w:spacing w:after="60"/>
            </w:pPr>
            <w:r>
              <w:t>усмени испт</w:t>
            </w:r>
          </w:p>
        </w:tc>
        <w:tc>
          <w:tcPr>
            <w:tcW w:w="1774" w:type="dxa"/>
            <w:vAlign w:val="center"/>
          </w:tcPr>
          <w:p w:rsidR="000944AF" w:rsidRPr="00183C64" w:rsidRDefault="007B7F91">
            <w:pPr>
              <w:pStyle w:val="Normal1"/>
              <w:tabs>
                <w:tab w:val="left" w:pos="567"/>
              </w:tabs>
              <w:spacing w:after="60"/>
              <w:rPr>
                <w:b/>
              </w:rPr>
            </w:pPr>
            <w:r w:rsidRPr="00183C64">
              <w:rPr>
                <w:b/>
              </w:rPr>
              <w:t>10</w:t>
            </w:r>
          </w:p>
        </w:tc>
      </w:tr>
      <w:tr w:rsidR="000944AF">
        <w:trPr>
          <w:cantSplit/>
          <w:trHeight w:val="227"/>
          <w:tblHeader/>
          <w:jc w:val="center"/>
        </w:trPr>
        <w:tc>
          <w:tcPr>
            <w:tcW w:w="3146" w:type="dxa"/>
            <w:vAlign w:val="center"/>
          </w:tcPr>
          <w:p w:rsidR="000944AF" w:rsidRDefault="007B7F91">
            <w:pPr>
              <w:pStyle w:val="Normal1"/>
              <w:tabs>
                <w:tab w:val="left" w:pos="567"/>
              </w:tabs>
              <w:spacing w:after="60"/>
            </w:pPr>
            <w:r>
              <w:t>колоквијум-и</w:t>
            </w:r>
          </w:p>
        </w:tc>
        <w:tc>
          <w:tcPr>
            <w:tcW w:w="1960" w:type="dxa"/>
            <w:vAlign w:val="center"/>
          </w:tcPr>
          <w:p w:rsidR="000944AF" w:rsidRDefault="007B7F91">
            <w:pPr>
              <w:pStyle w:val="Normal1"/>
              <w:tabs>
                <w:tab w:val="left" w:pos="567"/>
              </w:tabs>
              <w:spacing w:after="60"/>
            </w:pPr>
            <w:r>
              <w:rPr>
                <w:b/>
              </w:rPr>
              <w:t>30</w:t>
            </w:r>
          </w:p>
        </w:tc>
        <w:tc>
          <w:tcPr>
            <w:tcW w:w="3223" w:type="dxa"/>
            <w:gridSpan w:val="2"/>
            <w:vAlign w:val="center"/>
          </w:tcPr>
          <w:p w:rsidR="000944AF" w:rsidRDefault="000944AF">
            <w:pPr>
              <w:pStyle w:val="Normal1"/>
              <w:tabs>
                <w:tab w:val="left" w:pos="567"/>
              </w:tabs>
              <w:spacing w:after="60"/>
            </w:pPr>
          </w:p>
        </w:tc>
        <w:tc>
          <w:tcPr>
            <w:tcW w:w="1774" w:type="dxa"/>
            <w:vAlign w:val="center"/>
          </w:tcPr>
          <w:p w:rsidR="000944AF" w:rsidRPr="00183C64" w:rsidRDefault="000944AF">
            <w:pPr>
              <w:pStyle w:val="Normal1"/>
              <w:tabs>
                <w:tab w:val="left" w:pos="567"/>
              </w:tabs>
              <w:spacing w:after="60"/>
              <w:rPr>
                <w:b/>
              </w:rPr>
            </w:pPr>
          </w:p>
        </w:tc>
      </w:tr>
      <w:tr w:rsidR="000944AF">
        <w:trPr>
          <w:cantSplit/>
          <w:trHeight w:val="227"/>
          <w:tblHeader/>
          <w:jc w:val="center"/>
        </w:trPr>
        <w:tc>
          <w:tcPr>
            <w:tcW w:w="3146" w:type="dxa"/>
            <w:vAlign w:val="center"/>
          </w:tcPr>
          <w:p w:rsidR="000944AF" w:rsidRDefault="007B7F91">
            <w:pPr>
              <w:pStyle w:val="Normal1"/>
              <w:tabs>
                <w:tab w:val="left" w:pos="567"/>
              </w:tabs>
              <w:spacing w:after="60"/>
            </w:pPr>
            <w:r>
              <w:t>семинар-и</w:t>
            </w:r>
          </w:p>
        </w:tc>
        <w:tc>
          <w:tcPr>
            <w:tcW w:w="1960" w:type="dxa"/>
            <w:vAlign w:val="center"/>
          </w:tcPr>
          <w:p w:rsidR="000944AF" w:rsidRDefault="000944AF">
            <w:pPr>
              <w:pStyle w:val="Normal1"/>
              <w:tabs>
                <w:tab w:val="left" w:pos="567"/>
              </w:tabs>
              <w:spacing w:after="60"/>
            </w:pPr>
          </w:p>
        </w:tc>
        <w:tc>
          <w:tcPr>
            <w:tcW w:w="3223" w:type="dxa"/>
            <w:gridSpan w:val="2"/>
            <w:vAlign w:val="center"/>
          </w:tcPr>
          <w:p w:rsidR="000944AF" w:rsidRDefault="000944AF">
            <w:pPr>
              <w:pStyle w:val="Normal1"/>
              <w:tabs>
                <w:tab w:val="left" w:pos="567"/>
              </w:tabs>
              <w:spacing w:after="60"/>
            </w:pPr>
          </w:p>
        </w:tc>
        <w:tc>
          <w:tcPr>
            <w:tcW w:w="1774" w:type="dxa"/>
            <w:vAlign w:val="center"/>
          </w:tcPr>
          <w:p w:rsidR="000944AF" w:rsidRDefault="000944AF">
            <w:pPr>
              <w:pStyle w:val="Normal1"/>
              <w:tabs>
                <w:tab w:val="left" w:pos="567"/>
              </w:tabs>
              <w:spacing w:after="60"/>
            </w:pPr>
          </w:p>
        </w:tc>
      </w:tr>
    </w:tbl>
    <w:p w:rsidR="000944AF" w:rsidRDefault="000944AF">
      <w:pPr>
        <w:pStyle w:val="Normal1"/>
        <w:jc w:val="center"/>
      </w:pPr>
    </w:p>
    <w:sectPr w:rsidR="000944AF" w:rsidSect="000944AF">
      <w:headerReference w:type="default" r:id="rId9"/>
      <w:footerReference w:type="default" r:id="rId10"/>
      <w:pgSz w:w="11907" w:h="16840"/>
      <w:pgMar w:top="2269" w:right="283" w:bottom="851" w:left="426" w:header="113" w:footer="17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7206" w:rsidRDefault="00617206" w:rsidP="000944AF">
      <w:r>
        <w:separator/>
      </w:r>
    </w:p>
  </w:endnote>
  <w:endnote w:type="continuationSeparator" w:id="0">
    <w:p w:rsidR="00617206" w:rsidRDefault="00617206" w:rsidP="00094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44AF" w:rsidRDefault="007B7F91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t>www.filfak.ni.ac.rs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7206" w:rsidRDefault="00617206" w:rsidP="000944AF">
      <w:r>
        <w:separator/>
      </w:r>
    </w:p>
  </w:footnote>
  <w:footnote w:type="continuationSeparator" w:id="0">
    <w:p w:rsidR="00617206" w:rsidRDefault="00617206" w:rsidP="000944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44AF" w:rsidRDefault="007B7F91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  <w:r>
      <w:rPr>
        <w:color w:val="000000"/>
      </w:rPr>
      <w:t xml:space="preserve">         </w:t>
    </w:r>
  </w:p>
  <w:tbl>
    <w:tblPr>
      <w:tblStyle w:val="a0"/>
      <w:tblW w:w="9658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1634"/>
      <w:gridCol w:w="6368"/>
      <w:gridCol w:w="1656"/>
    </w:tblGrid>
    <w:tr w:rsidR="000944AF">
      <w:trPr>
        <w:cantSplit/>
        <w:trHeight w:val="367"/>
        <w:tblHeader/>
        <w:jc w:val="center"/>
      </w:trPr>
      <w:tc>
        <w:tcPr>
          <w:tcW w:w="1634" w:type="dxa"/>
          <w:vMerge w:val="restart"/>
          <w:shd w:val="clear" w:color="auto" w:fill="auto"/>
          <w:vAlign w:val="center"/>
        </w:tcPr>
        <w:p w:rsidR="000944AF" w:rsidRDefault="007B7F91">
          <w:pPr>
            <w:pStyle w:val="Normal1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000000"/>
            </w:rPr>
          </w:pPr>
          <w:r>
            <w:rPr>
              <w:noProof/>
              <w:color w:val="000000"/>
              <w:lang w:val="sr-Latn-RS" w:eastAsia="sr-Latn-RS"/>
            </w:rPr>
            <w:drawing>
              <wp:inline distT="0" distB="0" distL="114300" distR="114300">
                <wp:extent cx="900430" cy="899795"/>
                <wp:effectExtent l="0" t="0" r="0" b="0"/>
                <wp:docPr id="1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430" cy="89979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68" w:type="dxa"/>
          <w:shd w:val="clear" w:color="auto" w:fill="FFFFFF"/>
          <w:vAlign w:val="center"/>
        </w:tcPr>
        <w:p w:rsidR="000944AF" w:rsidRDefault="007B7F91">
          <w:pPr>
            <w:pStyle w:val="Normal1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Универзитет у Нишу</w:t>
          </w:r>
        </w:p>
        <w:p w:rsidR="000944AF" w:rsidRDefault="007B7F91">
          <w:pPr>
            <w:pStyle w:val="Normal1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Филозофски факултет</w:t>
          </w:r>
        </w:p>
      </w:tc>
      <w:tc>
        <w:tcPr>
          <w:tcW w:w="1656" w:type="dxa"/>
          <w:vMerge w:val="restart"/>
          <w:vAlign w:val="center"/>
        </w:tcPr>
        <w:p w:rsidR="000944AF" w:rsidRDefault="007B7F91">
          <w:pPr>
            <w:pStyle w:val="Normal1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000000"/>
            </w:rPr>
          </w:pPr>
          <w:r>
            <w:rPr>
              <w:noProof/>
              <w:color w:val="000000"/>
              <w:lang w:val="sr-Latn-RS" w:eastAsia="sr-Latn-RS"/>
            </w:rPr>
            <w:drawing>
              <wp:inline distT="0" distB="0" distL="114300" distR="114300">
                <wp:extent cx="914400" cy="913765"/>
                <wp:effectExtent l="0" t="0" r="0" b="0"/>
                <wp:docPr id="2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400" cy="91376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  <w:tr w:rsidR="000944AF">
      <w:trPr>
        <w:cantSplit/>
        <w:trHeight w:val="467"/>
        <w:tblHeader/>
        <w:jc w:val="center"/>
      </w:trPr>
      <w:tc>
        <w:tcPr>
          <w:tcW w:w="1634" w:type="dxa"/>
          <w:vMerge/>
          <w:shd w:val="clear" w:color="auto" w:fill="auto"/>
          <w:vAlign w:val="center"/>
        </w:tcPr>
        <w:p w:rsidR="000944AF" w:rsidRDefault="000944AF">
          <w:pPr>
            <w:pStyle w:val="Normal1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000000"/>
            </w:rPr>
          </w:pPr>
        </w:p>
      </w:tc>
      <w:tc>
        <w:tcPr>
          <w:tcW w:w="6368" w:type="dxa"/>
          <w:shd w:val="clear" w:color="auto" w:fill="E6E6E6"/>
          <w:vAlign w:val="center"/>
        </w:tcPr>
        <w:p w:rsidR="000944AF" w:rsidRDefault="007B7F91">
          <w:pPr>
            <w:pStyle w:val="Normal1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Акредитација студијског програма</w:t>
          </w:r>
        </w:p>
      </w:tc>
      <w:tc>
        <w:tcPr>
          <w:tcW w:w="1656" w:type="dxa"/>
          <w:vMerge/>
          <w:vAlign w:val="center"/>
        </w:tcPr>
        <w:p w:rsidR="000944AF" w:rsidRDefault="000944AF">
          <w:pPr>
            <w:pStyle w:val="Normal1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</w:tr>
    <w:tr w:rsidR="000944AF">
      <w:trPr>
        <w:cantSplit/>
        <w:trHeight w:val="449"/>
        <w:tblHeader/>
        <w:jc w:val="center"/>
      </w:trPr>
      <w:tc>
        <w:tcPr>
          <w:tcW w:w="1634" w:type="dxa"/>
          <w:vMerge/>
          <w:shd w:val="clear" w:color="auto" w:fill="auto"/>
          <w:vAlign w:val="center"/>
        </w:tcPr>
        <w:p w:rsidR="000944AF" w:rsidRDefault="000944AF">
          <w:pPr>
            <w:pStyle w:val="Normal1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  <w:tc>
        <w:tcPr>
          <w:tcW w:w="6368" w:type="dxa"/>
          <w:shd w:val="clear" w:color="auto" w:fill="FFFFFF"/>
          <w:vAlign w:val="center"/>
        </w:tcPr>
        <w:p w:rsidR="000944AF" w:rsidRDefault="007B7F91">
          <w:pPr>
            <w:pStyle w:val="Normal1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ind w:hanging="2"/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 xml:space="preserve">Основне академске студије </w:t>
          </w:r>
        </w:p>
        <w:p w:rsidR="000944AF" w:rsidRPr="009811E6" w:rsidRDefault="009811E6">
          <w:pPr>
            <w:pStyle w:val="Normal1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социјалне политике и социјалног рада</w:t>
          </w:r>
        </w:p>
      </w:tc>
      <w:tc>
        <w:tcPr>
          <w:tcW w:w="1656" w:type="dxa"/>
          <w:vMerge/>
          <w:vAlign w:val="center"/>
        </w:tcPr>
        <w:p w:rsidR="000944AF" w:rsidRDefault="000944AF">
          <w:pPr>
            <w:pStyle w:val="Normal1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</w:tr>
  </w:tbl>
  <w:p w:rsidR="000944AF" w:rsidRDefault="007B7F91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t xml:space="preserve">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44AF"/>
    <w:rsid w:val="000944AF"/>
    <w:rsid w:val="001266DA"/>
    <w:rsid w:val="00183C64"/>
    <w:rsid w:val="00617206"/>
    <w:rsid w:val="007B7F91"/>
    <w:rsid w:val="009811E6"/>
    <w:rsid w:val="00F54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rsid w:val="000944AF"/>
    <w:pPr>
      <w:keepNext/>
      <w:outlineLvl w:val="0"/>
    </w:pPr>
    <w:rPr>
      <w:b/>
      <w:sz w:val="24"/>
      <w:szCs w:val="24"/>
    </w:rPr>
  </w:style>
  <w:style w:type="paragraph" w:styleId="Heading2">
    <w:name w:val="heading 2"/>
    <w:basedOn w:val="Normal1"/>
    <w:next w:val="Normal1"/>
    <w:rsid w:val="000944AF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rsid w:val="000944AF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rsid w:val="000944AF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rsid w:val="000944AF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1"/>
    <w:next w:val="Normal1"/>
    <w:rsid w:val="000944AF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0944AF"/>
  </w:style>
  <w:style w:type="paragraph" w:styleId="Title">
    <w:name w:val="Title"/>
    <w:basedOn w:val="Normal1"/>
    <w:next w:val="Normal1"/>
    <w:rsid w:val="000944AF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1"/>
    <w:next w:val="Normal1"/>
    <w:rsid w:val="000944AF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0944A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rsid w:val="000944A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811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11E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9811E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811E6"/>
  </w:style>
  <w:style w:type="paragraph" w:styleId="Footer">
    <w:name w:val="footer"/>
    <w:basedOn w:val="Normal"/>
    <w:link w:val="FooterChar"/>
    <w:uiPriority w:val="99"/>
    <w:semiHidden/>
    <w:unhideWhenUsed/>
    <w:rsid w:val="009811E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811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../../../Tabele%20Standarda%209/Tabela%209.1/Tabela%209.1%20Milica%20To%C5%A1i%C4%87%20Radev.doc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../../../Tabele%20Standarda%209/Tabela%209.1/Tabela%209.1%20Tatjana%20Stefanovi%C4%87%20Stanojevi%C4%87.doc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523</Words>
  <Characters>2987</Characters>
  <Application>Microsoft Office Word</Application>
  <DocSecurity>0</DocSecurity>
  <Lines>24</Lines>
  <Paragraphs>7</Paragraphs>
  <ScaleCrop>false</ScaleCrop>
  <Company/>
  <LinksUpToDate>false</LinksUpToDate>
  <CharactersWithSpaces>3503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LMR</cp:lastModifiedBy>
  <cp:revision>5</cp:revision>
  <dcterms:created xsi:type="dcterms:W3CDTF">2022-03-31T21:50:00Z</dcterms:created>
  <dcterms:modified xsi:type="dcterms:W3CDTF">2022-04-14T14:58:00Z</dcterms:modified>
</cp:coreProperties>
</file>