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mbria" w:cs="Cambria" w:eastAsia="Cambria" w:hAnsi="Cambria"/>
          <w:b w:val="1"/>
          <w:sz w:val="32"/>
          <w:szCs w:val="32"/>
        </w:rPr>
      </w:pPr>
      <w:r w:rsidDel="00000000" w:rsidR="00000000" w:rsidRPr="00000000">
        <w:rPr>
          <w:rFonts w:ascii="Cambria" w:cs="Cambria" w:eastAsia="Cambria" w:hAnsi="Cambria"/>
          <w:b w:val="1"/>
          <w:sz w:val="32"/>
          <w:szCs w:val="32"/>
          <w:rtl w:val="0"/>
        </w:rPr>
        <w:t xml:space="preserve">ИНТЕРНИ ПРОЈЕКАТ ФИЛОЗОФСКОГ ФАКУЛТЕТА У НИШУ</w:t>
      </w:r>
    </w:p>
    <w:p w:rsidR="00000000" w:rsidDel="00000000" w:rsidP="00000000" w:rsidRDefault="00000000" w:rsidRPr="00000000" w14:paraId="00000004">
      <w:pPr>
        <w:jc w:val="center"/>
        <w:rPr>
          <w:rFonts w:ascii="Cambria" w:cs="Cambria" w:eastAsia="Cambria" w:hAnsi="Cambria"/>
          <w:b w:val="1"/>
          <w:sz w:val="32"/>
          <w:szCs w:val="32"/>
        </w:rPr>
      </w:pPr>
      <w:r w:rsidDel="00000000" w:rsidR="00000000" w:rsidRPr="00000000">
        <w:rPr>
          <w:rFonts w:ascii="Cambria" w:cs="Cambria" w:eastAsia="Cambria" w:hAnsi="Cambria"/>
          <w:b w:val="1"/>
          <w:sz w:val="32"/>
          <w:szCs w:val="32"/>
          <w:rtl w:val="0"/>
        </w:rPr>
        <w:t xml:space="preserve">(школска 2021/2022. година)</w:t>
      </w:r>
    </w:p>
    <w:p w:rsidR="00000000" w:rsidDel="00000000" w:rsidP="00000000" w:rsidRDefault="00000000" w:rsidRPr="00000000" w14:paraId="00000005">
      <w:pPr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7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57"/>
        <w:gridCol w:w="6917"/>
        <w:tblGridChange w:id="0">
          <w:tblGrid>
            <w:gridCol w:w="2257"/>
            <w:gridCol w:w="691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Департман који реализује пројекат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Департман за филозофију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Назив пројекта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Популарном филозофијом против предрасуда о филозофији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Руководилац пројекта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Растислав Динић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Секретар пројекта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Cambria" w:cs="Cambria" w:eastAsia="Cambria" w:hAnsi="Cambria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Бојан Благојевић</w:t>
            </w:r>
          </w:p>
        </w:tc>
      </w:tr>
    </w:tbl>
    <w:p w:rsidR="00000000" w:rsidDel="00000000" w:rsidP="00000000" w:rsidRDefault="00000000" w:rsidRPr="00000000" w14:paraId="00000010">
      <w:pPr>
        <w:ind w:left="284" w:hanging="284"/>
        <w:jc w:val="both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09" w:hanging="709"/>
        <w:jc w:val="both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ambria" w:cs="Cambria" w:eastAsia="Cambria" w:hAnsi="Cambria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65.0" w:type="dxa"/>
        <w:jc w:val="left"/>
        <w:tblInd w:w="-43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8227"/>
        <w:tblGridChange w:id="0">
          <w:tblGrid>
            <w:gridCol w:w="1838"/>
            <w:gridCol w:w="822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Образложење пројекта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both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Овај пројекат осмишљен је као суочавање са распрострањним предрасудама о филозофији као непрактичној и апстрактној области. Како последњих година имамо прилике да видимо – ове предрасуде не само да су нетачне, већ су и штетне – оне се све чешће наводе и као образложење закона и образованих политика којима се филозофији чини недоступном многим средњошколцима. Да иронија буде већа, све ово се дешава у тренутку у коме се се широм света увиђа значај квалитетног филозофског образовања за лични, економски и друштвени развој; у коме се кроз програме „Филозофије за децу“ ова област чини доступном све млађим узрастима; у коме се филозофија кроз најразличитије форме популарне или јавне филозофије приближава најрширој јавности; и у коме никада није било јасније да је филозофија у стању да тематизује актуелне проблеме личног и друштвеног живота.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Адресирајући савремене и свакодневне проблеме на приступачан и популаран начин, овај пројекат би требало да допринесе мењању јавне слике о филозофији, али и активнијем ангажману академских филозофа у комуникацији за широм јавношћу – нарочито са младима.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Циљ пројекта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both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Циљ пројекта јесте како популаризација филзоофије и указивање широј јавности на њен значај, тако и настојање да се дâ известан допринос отворености академске филозофије за теме и проблеме који се налазе у фокусу шире друштвене заједнице.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Специфични циљеви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both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Специфични циљеви у периоду март-јун 2022..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Организовање популарних предавања у средњим школама у Нишу и на југоистоку Србије.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Писање сажетака ових предавања за Филоблог.</w:t>
            </w:r>
          </w:p>
          <w:p w:rsidR="00000000" w:rsidDel="00000000" w:rsidP="00000000" w:rsidRDefault="00000000" w:rsidRPr="00000000" w14:paraId="0000001D">
            <w:pPr>
              <w:jc w:val="both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Снимање предавања и њихова промоција на Јутјуб каналу департмана за филозофију.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Задаци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Држање предавања, писање блог постова, снимање предавања и промоција снимака на друштвеним мрежама.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Очекивани исходи / резултати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both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Јаснија представа међу младима, али и у широј јавности, о филозофију као области релевантној за различите домене личног и друштвеног живота.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  <w:tab w:val="left" w:pos="284"/>
              </w:tabs>
              <w:spacing w:after="0" w:before="0" w:line="360" w:lineRule="auto"/>
              <w:ind w:left="1080" w:right="0" w:firstLine="0"/>
              <w:jc w:val="both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Чланови пројектног тима 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both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Слађана Ристић Горгиев, Зоран Димић, Бојан Благојевић, Растислав Динић, Милан Јовановић, Анђелија Милић, Душан Миленковић, Биљана Радовановић, Иван Николић, Горан Ружић</w:t>
            </w:r>
          </w:p>
        </w:tc>
      </w:tr>
    </w:tbl>
    <w:p w:rsidR="00000000" w:rsidDel="00000000" w:rsidP="00000000" w:rsidRDefault="00000000" w:rsidRPr="00000000" w14:paraId="00000026">
      <w:pPr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Cambria" w:cs="Cambria" w:eastAsia="Cambria" w:hAnsi="Cambria"/>
        </w:rPr>
        <w:sectPr>
          <w:headerReference r:id="rId7" w:type="default"/>
          <w:footerReference r:id="rId8" w:type="default"/>
          <w:pgSz w:h="16838" w:w="11906" w:orient="portrait"/>
          <w:pgMar w:bottom="1361" w:top="1702" w:left="1361" w:right="1361" w:header="426" w:footer="551"/>
          <w:pgNumType w:start="1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-1276" w:firstLine="0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Временски план реализације пројекта </w:t>
      </w: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(планирати конкретне кораке у реализацији пројекта по месецима, почев од 1. марта 2021. до 31. маја 2021. године)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:</w:t>
      </w:r>
    </w:p>
    <w:tbl>
      <w:tblPr>
        <w:tblStyle w:val="Table3"/>
        <w:tblW w:w="1456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792"/>
        <w:gridCol w:w="3114"/>
        <w:gridCol w:w="1350"/>
        <w:gridCol w:w="578"/>
        <w:gridCol w:w="577"/>
        <w:gridCol w:w="578"/>
        <w:gridCol w:w="577"/>
        <w:tblGridChange w:id="0">
          <w:tblGrid>
            <w:gridCol w:w="7792"/>
            <w:gridCol w:w="3114"/>
            <w:gridCol w:w="1350"/>
            <w:gridCol w:w="578"/>
            <w:gridCol w:w="577"/>
            <w:gridCol w:w="578"/>
            <w:gridCol w:w="577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a" w:space="0" w:sz="2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Активност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a" w:space="0" w:sz="24" w:val="single"/>
            </w:tcBorders>
          </w:tcPr>
          <w:p w:rsidR="00000000" w:rsidDel="00000000" w:rsidP="00000000" w:rsidRDefault="00000000" w:rsidRPr="00000000" w14:paraId="0000002A">
            <w:pPr>
              <w:spacing w:after="20" w:before="20" w:lineRule="auto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Реализатори</w:t>
            </w:r>
          </w:p>
        </w:tc>
        <w:tc>
          <w:tcPr>
            <w:tcBorders>
              <w:bottom w:color="00000a" w:space="0" w:sz="2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spacing w:after="20" w:before="20" w:lineRule="auto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Трајање у недељама</w:t>
            </w:r>
          </w:p>
        </w:tc>
        <w:tc>
          <w:tcPr>
            <w:tcBorders>
              <w:bottom w:color="00000a" w:space="0" w:sz="2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spacing w:after="20" w:before="20" w:lineRule="auto"/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III</w:t>
            </w:r>
          </w:p>
        </w:tc>
        <w:tc>
          <w:tcPr>
            <w:tcBorders>
              <w:bottom w:color="00000a" w:space="0" w:sz="2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spacing w:after="20" w:before="20" w:lineRule="auto"/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IV</w:t>
            </w:r>
          </w:p>
        </w:tc>
        <w:tc>
          <w:tcPr>
            <w:tcBorders>
              <w:bottom w:color="00000a" w:space="0" w:sz="2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spacing w:after="20" w:before="20" w:lineRule="auto"/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V</w:t>
            </w:r>
          </w:p>
        </w:tc>
        <w:tc>
          <w:tcPr>
            <w:tcBorders>
              <w:bottom w:color="00000a" w:space="0" w:sz="2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spacing w:after="20" w:before="20" w:lineRule="auto"/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a" w:space="0" w:sz="2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   Састанци са мрежама наставника и утрђивање интересовања ученика за теме предавања </w:t>
            </w:r>
          </w:p>
        </w:tc>
        <w:tc>
          <w:tcPr>
            <w:tcBorders>
              <w:top w:color="00000a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Сви учесници пројекта.</w:t>
            </w:r>
          </w:p>
        </w:tc>
        <w:tc>
          <w:tcPr>
            <w:tcBorders>
              <w:top w:color="00000a" w:space="0" w:sz="24" w:val="single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2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x</w:t>
            </w:r>
          </w:p>
        </w:tc>
        <w:tc>
          <w:tcPr>
            <w:tcBorders>
              <w:top w:color="00000a" w:space="0" w:sz="2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2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2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 Организовање популарних предавања у средњим школама у Нишу и на југоистоку Србије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Сви учесници пројекта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  Писање сажетака ових предавања за Филоблог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Сви учесници пројекта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 </w:t>
            </w: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Снимање предавања и њихова промоција на Јутјуб каналу департмана за филозофиј</w:t>
            </w: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Сви учесници пројекта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spacing w:after="20" w:before="20" w:lineRule="auto"/>
              <w:rPr>
                <w:rFonts w:ascii="Cambria" w:cs="Cambria" w:eastAsia="Cambria" w:hAnsi="Cambria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spacing w:after="20" w:before="2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1361" w:top="2371" w:left="2236" w:right="1361" w:header="426" w:footer="55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 w:val="1"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DF5DD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DF5DD5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qFormat w:val="1"/>
    <w:rsid w:val="00060B52"/>
    <w:pPr>
      <w:spacing w:after="119" w:beforeAutospacing="1" w:line="240" w:lineRule="auto"/>
    </w:pPr>
    <w:rPr>
      <w:rFonts w:ascii="Times New Roman" w:cs="Times New Roman" w:eastAsia="Times New Roman" w:hAnsi="Times New Roman"/>
      <w:sz w:val="24"/>
      <w:szCs w:val="24"/>
      <w:lang w:val="sr-Cyrl-C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KaaF9Xlg6mweF+5s3EucXMB20g==">AMUW2mWoiL/zwbL8CMAiI8fEXmSiib+ljzeJqi42rGtpmsJ6Dy1gVAjdq34lEGdYNHmsaw9KR6is2B/cToIiVJo8GC49oJNgAU9XtowfJcGEmLtVW+Mo8E4gF/+X294TB4wLIVDoEflj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2021-12-19T22:00:00Z</dcterms:created>
  <dc:creator>Dusan Stamenkovic</dc:creator>
</cp:coreProperties>
</file>