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27" w:rsidRDefault="00711D8F">
      <w:pPr>
        <w:pStyle w:val="LO-normal"/>
      </w:pPr>
      <w:r>
        <w:rPr>
          <w:b/>
        </w:rPr>
        <w:t xml:space="preserve">Табела 5.2 </w:t>
      </w:r>
      <w:r>
        <w:t>Спецификација  предмета</w:t>
      </w:r>
    </w:p>
    <w:p w:rsidR="008E0E27" w:rsidRDefault="00711D8F">
      <w:pPr>
        <w:pStyle w:val="LO-normal"/>
      </w:pPr>
      <w:r>
        <w:t xml:space="preserve"> 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1551"/>
        <w:gridCol w:w="1048"/>
        <w:gridCol w:w="833"/>
        <w:gridCol w:w="1895"/>
        <w:gridCol w:w="600"/>
        <w:gridCol w:w="2313"/>
        <w:gridCol w:w="341"/>
        <w:gridCol w:w="1273"/>
      </w:tblGrid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Студијски програм/студијски програми: Историја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Врста и ниво студија: Мастер академске студије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>Назив предмета: Политички и друштвени развитак српских земаља у средњем веку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 xml:space="preserve">Наставник: </w:t>
            </w:r>
            <w:hyperlink r:id="rId7">
              <w:r>
                <w:rPr>
                  <w:b/>
                  <w:color w:val="0000FF"/>
                  <w:u w:val="single"/>
                </w:rPr>
                <w:t>Ђекић Н. Ђорђе</w:t>
              </w:r>
            </w:hyperlink>
            <w:r>
              <w:rPr>
                <w:b/>
              </w:rPr>
              <w:t xml:space="preserve">, </w:t>
            </w:r>
            <w:hyperlink r:id="rId8">
              <w:r>
                <w:rPr>
                  <w:b/>
                  <w:color w:val="0000FF"/>
                  <w:u w:val="single"/>
                </w:rPr>
                <w:t>Алексић Г. Владимир</w:t>
              </w:r>
            </w:hyperlink>
            <w:r>
              <w:rPr>
                <w:b/>
              </w:rPr>
              <w:t xml:space="preserve">, </w:t>
            </w:r>
            <w:r>
              <w:rPr>
                <w:b/>
                <w:color w:val="0000CC"/>
                <w:u w:val="single"/>
              </w:rPr>
              <w:t>Јасмина Шаранац Стаменковић</w:t>
            </w:r>
          </w:p>
          <w:p w:rsidR="008E0E27" w:rsidRDefault="00711D8F">
            <w:pPr>
              <w:pStyle w:val="LO-normal"/>
            </w:pPr>
            <w:r>
              <w:rPr>
                <w:b/>
              </w:rPr>
              <w:t xml:space="preserve">Сарадник:  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Статус предмета: изборни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Pr="007D7EC7" w:rsidRDefault="007D7EC7">
            <w:pPr>
              <w:pStyle w:val="LO-normal"/>
              <w:rPr>
                <w:lang w:val="sr-Cyrl-RS"/>
              </w:rPr>
            </w:pPr>
            <w:r>
              <w:t xml:space="preserve">Број ЕСПБ: </w:t>
            </w:r>
            <w:r>
              <w:rPr>
                <w:lang w:val="sr-Cyrl-RS"/>
              </w:rPr>
              <w:t>5</w:t>
            </w:r>
            <w:bookmarkStart w:id="0" w:name="_GoBack"/>
            <w:bookmarkEnd w:id="0"/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Услов: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 xml:space="preserve">Циљ предмета:  </w:t>
            </w:r>
          </w:p>
          <w:p w:rsidR="008E0E27" w:rsidRDefault="00711D8F">
            <w:pPr>
              <w:pStyle w:val="LO-normal"/>
            </w:pPr>
            <w:r>
              <w:t>Упознавање са политичком прошлошћу српског народа у наведеном периоду, а у складу с</w:t>
            </w:r>
            <w:r>
              <w:t>а најновијим погледима савремене домаће и светске медиевистике. У том погледу ће бити од посебног интересовања ставови обојени различитим тоновима о развоју српске државности, државне управе, идеолошког устројства власти династија и обласних господара и сл</w:t>
            </w:r>
            <w:r>
              <w:t>ичне блиске теме. Други паралелни циљ има задатак изучавање социјалне структуре (властела и све категорије зависног становништва – меропси, отроци, сокалници, власи), промене у друштвеним односима (облици ритерског поимања света), култури (појава градске у</w:t>
            </w:r>
            <w:r>
              <w:t xml:space="preserve">метности), духовна струјања (култови светих – посебно св. Саве и св. Симеона, исихазам, дуалистичка „Црква босанска“, међурелигијске супротности и сличности – односи са Римокатоличком црквом и појава ислама). 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 xml:space="preserve">Исход предмета: </w:t>
            </w:r>
          </w:p>
          <w:p w:rsidR="008E0E27" w:rsidRDefault="00711D8F">
            <w:pPr>
              <w:pStyle w:val="LO-normal"/>
              <w:widowControl/>
            </w:pPr>
            <w:r>
              <w:t xml:space="preserve">Очекује се да студент по </w:t>
            </w:r>
            <w:r>
              <w:t>завршетку овог курса буде оспособљен да уопштава на основу бројних и разнородних чињеница о догађајима и појава како био створио целовиту и комплесксну слику о истраживаној теми. Овакво повезивање знања из разних области је неопходно јер су у средишту тзв.</w:t>
            </w:r>
            <w:r>
              <w:t xml:space="preserve"> појаве дугог трајања које обухватају велики географски простор и знатна временска раздобља (преношење државотворних идеја са једне династије на друге, идеолошки утицаји из Византије и за Запада, промене у суштини државне управе итд). Посебно је важно увиђ</w:t>
            </w:r>
            <w:r>
              <w:t>ање правилности (нпр. међусобан однос између обавеза различитих категорија становништва, сличности и супротности између управних модела у различитим државама). С обзиром на ограничену изворну основу један од највиших исхода предмета треба да буде у извеној</w:t>
            </w:r>
            <w:r>
              <w:t xml:space="preserve"> мери препознавање њиховог скривеног значења и преношење знања у нови контекст (утицај политичког развитка на друштвене промене и обрнуто). Тиме се постиже и повезивање знања из разних области познавања средњовековне прошлсти који неминовно не морају да бу</w:t>
            </w:r>
            <w:r>
              <w:t>ду у блиској вези.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>Садржај предмета</w:t>
            </w:r>
          </w:p>
          <w:p w:rsidR="008E0E27" w:rsidRDefault="00711D8F">
            <w:pPr>
              <w:pStyle w:val="LO-normal"/>
              <w:widowControl/>
              <w:ind w:hanging="7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Најстарији државни развитак српских земаља 2. Државни развитак српских земаља у време рашких великих жупана 3. Државна управа до краја владавине краља Милутина 4. Државна управа до 1371. г. - Душанов законик 5. Држав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управа до краја 1459. г. 6. Властеоски слој, одлике домаћег феудализма и устројство средњевековне војске 7. Категорије зависног становништва – мероспи и власи 8. Категорије зависног становништва – сокалници и отроци 9. Живот у градским насељима 10. Осно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 владарске идеологије Немањића 1 11. Основе владарске идеологије Немањића 2 12. Владарска идеологија у доба обласних господара 13. Допринос цркве духовном и културном животу – монаштво и свештенство 14. Допринос цркве духовном и културном животу – међуре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лигијски додири и сукоби 15. Усмено народно стваралаштво – Косовска легенда</w:t>
            </w:r>
          </w:p>
          <w:p w:rsidR="008E0E27" w:rsidRDefault="00711D8F">
            <w:pPr>
              <w:pStyle w:val="LO-normal"/>
            </w:pPr>
            <w:r>
              <w:rPr>
                <w:i/>
              </w:rPr>
              <w:t>Практична настава:Вежбе, Други облици наставе, Студијски истраживачки рад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  <w:widowControl/>
              <w:spacing w:line="360" w:lineRule="auto"/>
              <w:jc w:val="both"/>
            </w:pPr>
            <w:r>
              <w:rPr>
                <w:b/>
              </w:rPr>
              <w:t xml:space="preserve">Литература: </w:t>
            </w:r>
            <w:r>
              <w:t xml:space="preserve">приручници: М. Благојевић - Д. Медаковић, </w:t>
            </w:r>
            <w:r>
              <w:rPr>
                <w:i/>
              </w:rPr>
              <w:t>Историја српске државности</w:t>
            </w:r>
            <w:r>
              <w:t xml:space="preserve"> I, Нови Сад 2002, 206-26</w:t>
            </w:r>
            <w:r>
              <w:t xml:space="preserve">6; М. Благојевић, </w:t>
            </w:r>
            <w:r>
              <w:rPr>
                <w:i/>
              </w:rPr>
              <w:t>Државна управа у српским средњовековним земљама</w:t>
            </w:r>
            <w:r>
              <w:t>, Београд 2001</w:t>
            </w:r>
            <w:r>
              <w:rPr>
                <w:vertAlign w:val="superscript"/>
              </w:rPr>
              <w:t>2</w:t>
            </w:r>
            <w:r>
              <w:t>, 5-56; С. Ћирковић,</w:t>
            </w:r>
            <w:r>
              <w:rPr>
                <w:i/>
              </w:rPr>
              <w:t xml:space="preserve"> Историја средњовековне босанске државе</w:t>
            </w:r>
            <w:r>
              <w:t xml:space="preserve">, Београд 1964, 81-166; С. Марјановић-Душанић, </w:t>
            </w:r>
            <w:r>
              <w:rPr>
                <w:i/>
              </w:rPr>
              <w:t>Владарска идеологија Немањића. Дипломатичка студија</w:t>
            </w:r>
            <w:r>
              <w:t xml:space="preserve">, Београд 1997, 9-174; С. Марјановић-Душанић, </w:t>
            </w:r>
            <w:r>
              <w:rPr>
                <w:i/>
              </w:rPr>
              <w:t>Владарске инсигније и државна симболика у Србији од XIII до XIV века</w:t>
            </w:r>
            <w:r>
              <w:t>, Београд 1994, 13-155.</w:t>
            </w:r>
            <w:r>
              <w:rPr>
                <w:b/>
              </w:rPr>
              <w:t xml:space="preserve"> </w:t>
            </w:r>
          </w:p>
          <w:p w:rsidR="008E0E27" w:rsidRDefault="00711D8F">
            <w:pPr>
              <w:pStyle w:val="LO-normal"/>
              <w:widowControl/>
              <w:spacing w:line="360" w:lineRule="auto"/>
              <w:jc w:val="both"/>
            </w:pPr>
            <w:r>
              <w:rPr>
                <w:b/>
              </w:rPr>
              <w:t xml:space="preserve">ИЗБОРНИ ТЕКСТОВИ (У ЗАВИСНОСТИ ОД ПОТРЕБА СТУДЕНАТА): </w:t>
            </w:r>
            <w:r>
              <w:t xml:space="preserve">I ГРУПА </w:t>
            </w:r>
            <w:r>
              <w:rPr>
                <w:i/>
              </w:rPr>
              <w:t>О издаји или невери Вука Бранковића</w:t>
            </w:r>
            <w:r>
              <w:t>, Зборник МС за исто</w:t>
            </w:r>
            <w:r>
              <w:t xml:space="preserve">рију 79-80 (2009), 7-42; М. Благојевић, </w:t>
            </w:r>
            <w:r>
              <w:rPr>
                <w:i/>
              </w:rPr>
              <w:t>Српске владарке-ктитори Хиландара</w:t>
            </w:r>
            <w:r>
              <w:t xml:space="preserve">, Хиландарски зборник 11 (2004), 7-25; М. Благојевић, </w:t>
            </w:r>
            <w:r>
              <w:rPr>
                <w:i/>
              </w:rPr>
              <w:t>Српски сабори и сабори отачаства Немањића и Лазаревића</w:t>
            </w:r>
            <w:r>
              <w:t>, Отисак из Гласа CDX Српске академије наука и уметности, одељење историјск</w:t>
            </w:r>
            <w:r>
              <w:t xml:space="preserve">их наука, књ. 14, Београд 2008, 1-40; Д. </w:t>
            </w:r>
            <w:r>
              <w:lastRenderedPageBreak/>
              <w:t xml:space="preserve">Богдановић, </w:t>
            </w:r>
            <w:r>
              <w:rPr>
                <w:i/>
              </w:rPr>
              <w:t>Измирење српске и византијске цркве</w:t>
            </w:r>
            <w:r>
              <w:t xml:space="preserve">, О кнезу Лазару, Београд 1975, 81-91; С. Ћирковић, </w:t>
            </w:r>
            <w:r>
              <w:rPr>
                <w:i/>
              </w:rPr>
              <w:t>Србија уочи битке на Косову</w:t>
            </w:r>
            <w:r>
              <w:t xml:space="preserve">, Косовско-метохијски зборник 1 (1990), 3-20; С. Ћирковић, </w:t>
            </w:r>
            <w:r>
              <w:rPr>
                <w:i/>
              </w:rPr>
              <w:t>Старе и нове контраверзе о кне</w:t>
            </w:r>
            <w:r>
              <w:rPr>
                <w:i/>
              </w:rPr>
              <w:t>зу Лазару и Србији уочи Косовске битке</w:t>
            </w:r>
            <w:r>
              <w:t xml:space="preserve">, Зборник МС за историју 42 (1990), 7-17; М. Благојевић, Немањићи и Лазаревићи. Српска средњевековна државност, Београд 2004, 1-90, 133-174; М. Благојевић, </w:t>
            </w:r>
            <w:r>
              <w:rPr>
                <w:i/>
              </w:rPr>
              <w:t>Реформа државне управе и Душанов законик</w:t>
            </w:r>
            <w:r>
              <w:t>, Душанов законик, 650</w:t>
            </w:r>
            <w:r>
              <w:t xml:space="preserve"> година од његовог доношења, САНУ, Научни скупови књига IV, одељење друштвених наука књига III, Београд 2000, </w:t>
            </w:r>
            <w:r>
              <w:rPr>
                <w:b/>
              </w:rPr>
              <w:t>51-70.</w:t>
            </w:r>
          </w:p>
          <w:p w:rsidR="008E0E27" w:rsidRDefault="00711D8F">
            <w:pPr>
              <w:pStyle w:val="LO-normal"/>
              <w:widowControl/>
              <w:spacing w:line="360" w:lineRule="auto"/>
              <w:jc w:val="both"/>
            </w:pPr>
            <w:r>
              <w:rPr>
                <w:b/>
              </w:rPr>
              <w:t xml:space="preserve">II ГРУПА </w:t>
            </w:r>
            <w:r>
              <w:t xml:space="preserve">М. Благојевић, Немањићи и Лазаревићи. Српска средњевековна државност, Београд 2004, 247-419; Љ. Максимовић, </w:t>
            </w:r>
            <w:r>
              <w:rPr>
                <w:i/>
              </w:rPr>
              <w:t>Српска царска титула</w:t>
            </w:r>
            <w:r>
              <w:t xml:space="preserve">, </w:t>
            </w:r>
            <w:r>
              <w:t xml:space="preserve">Глас САНУ CCCLXXXIV књ. 10, Београд 1998, 173-189; М. Благојевић, </w:t>
            </w:r>
            <w:r>
              <w:rPr>
                <w:i/>
              </w:rPr>
              <w:t>Соће-основни порез средњовековне Србије. Једна перпера или кабао жита</w:t>
            </w:r>
            <w:r>
              <w:t xml:space="preserve">, Глас CCCXC САНУ, Одељење истор. наука, књ. 11, 1-44; С. Ћирковић, </w:t>
            </w:r>
            <w:r>
              <w:rPr>
                <w:i/>
              </w:rPr>
              <w:t>Работници, војници, духовници</w:t>
            </w:r>
            <w:r>
              <w:t>, Београд 1997, 277-349,</w:t>
            </w:r>
            <w:r>
              <w:t xml:space="preserve"> 435-455; М. Благојевић, </w:t>
            </w:r>
            <w:r>
              <w:rPr>
                <w:i/>
              </w:rPr>
              <w:t>Меропси и отроци-баштиници и посадници у Грбаљском рукопису Душановог законика</w:t>
            </w:r>
            <w:r>
              <w:t xml:space="preserve">, Глас САНУ CCCXCVI, Одељење историјских наука, књ. 12, Београд 2004, 21-60; С. Ћирковић, </w:t>
            </w:r>
            <w:r>
              <w:rPr>
                <w:i/>
              </w:rPr>
              <w:t>Србија уочи царства</w:t>
            </w:r>
            <w:r>
              <w:t>, Дечани и византијска уметност средином XIV</w:t>
            </w:r>
            <w:r>
              <w:t xml:space="preserve"> века, Београд 1989, 3-13; С. Ћирковић, </w:t>
            </w:r>
            <w:r>
              <w:rPr>
                <w:i/>
              </w:rPr>
              <w:t>Краљ у Душановом законику</w:t>
            </w:r>
            <w:r>
              <w:t>, ЗРВИ 33 (1994), 149-164.</w:t>
            </w:r>
          </w:p>
        </w:tc>
      </w:tr>
      <w:tr w:rsidR="008E0E27">
        <w:tc>
          <w:tcPr>
            <w:tcW w:w="8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Остали часови</w:t>
            </w:r>
          </w:p>
        </w:tc>
      </w:tr>
      <w:tr w:rsidR="008E0E27"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Предавања:</w:t>
            </w:r>
          </w:p>
          <w:p w:rsidR="008E0E27" w:rsidRDefault="00711D8F">
            <w:pPr>
              <w:pStyle w:val="LO-normal"/>
            </w:pPr>
            <w: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Вежбе:</w:t>
            </w:r>
          </w:p>
          <w:p w:rsidR="008E0E27" w:rsidRDefault="00711D8F">
            <w:pPr>
              <w:pStyle w:val="LO-normal"/>
            </w:pPr>
            <w:r>
              <w:t>1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Други облици наставе: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Студијски истраживачки рад:</w:t>
            </w:r>
          </w:p>
        </w:tc>
        <w:tc>
          <w:tcPr>
            <w:tcW w:w="1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8E0E27">
            <w:pPr>
              <w:pStyle w:val="LO-normal"/>
              <w:spacing w:line="276" w:lineRule="auto"/>
            </w:pP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 xml:space="preserve">Методе извођења наставе </w:t>
            </w:r>
            <w:r>
              <w:t xml:space="preserve">анаалитичка, </w:t>
            </w:r>
            <w:r>
              <w:t>компаративна, синтетичка</w:t>
            </w:r>
          </w:p>
        </w:tc>
      </w:tr>
      <w:tr w:rsidR="008E0E2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8E0E27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b/>
              </w:rPr>
              <w:t>поена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 xml:space="preserve">Завршни испит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i/>
              </w:rPr>
              <w:t>поена</w:t>
            </w:r>
          </w:p>
        </w:tc>
      </w:tr>
      <w:tr w:rsidR="008E0E27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активност у току предавања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5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писмени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8E0E27">
            <w:pPr>
              <w:pStyle w:val="LO-normal"/>
            </w:pPr>
          </w:p>
        </w:tc>
      </w:tr>
      <w:tr w:rsidR="008E0E27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практична настава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8E0E27">
            <w:pPr>
              <w:pStyle w:val="LO-normal"/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усмени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60</w:t>
            </w:r>
          </w:p>
        </w:tc>
      </w:tr>
      <w:tr w:rsidR="008E0E27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колоквијум-и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20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8E0E27">
            <w:pPr>
              <w:pStyle w:val="LO-normal"/>
            </w:pPr>
          </w:p>
        </w:tc>
      </w:tr>
      <w:tr w:rsidR="008E0E27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семинар-и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711D8F">
            <w:pPr>
              <w:pStyle w:val="LO-normal"/>
            </w:pPr>
            <w:r>
              <w:t>15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8E0E27">
            <w:pPr>
              <w:pStyle w:val="LO-normal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E27" w:rsidRDefault="008E0E27">
            <w:pPr>
              <w:pStyle w:val="LO-normal"/>
            </w:pPr>
          </w:p>
        </w:tc>
      </w:tr>
    </w:tbl>
    <w:p w:rsidR="008E0E27" w:rsidRDefault="008E0E27">
      <w:pPr>
        <w:pStyle w:val="LO-normal"/>
        <w:rPr>
          <w:sz w:val="16"/>
          <w:szCs w:val="16"/>
        </w:rPr>
      </w:pPr>
    </w:p>
    <w:p w:rsidR="008E0E27" w:rsidRDefault="008E0E27">
      <w:pPr>
        <w:pStyle w:val="LO-normal"/>
        <w:rPr>
          <w:sz w:val="16"/>
          <w:szCs w:val="16"/>
        </w:rPr>
      </w:pPr>
    </w:p>
    <w:p w:rsidR="008E0E27" w:rsidRDefault="008E0E27">
      <w:pPr>
        <w:pStyle w:val="LO-normal"/>
      </w:pPr>
    </w:p>
    <w:p w:rsidR="008E0E27" w:rsidRDefault="008E0E27">
      <w:pPr>
        <w:pStyle w:val="LO-normal"/>
      </w:pPr>
    </w:p>
    <w:sectPr w:rsidR="008E0E27">
      <w:headerReference w:type="default" r:id="rId9"/>
      <w:footerReference w:type="default" r:id="rId10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D8F" w:rsidRDefault="00711D8F">
      <w:r>
        <w:separator/>
      </w:r>
    </w:p>
  </w:endnote>
  <w:endnote w:type="continuationSeparator" w:id="0">
    <w:p w:rsidR="00711D8F" w:rsidRDefault="0071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27" w:rsidRDefault="00711D8F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D8F" w:rsidRDefault="00711D8F">
      <w:r>
        <w:separator/>
      </w:r>
    </w:p>
  </w:footnote>
  <w:footnote w:type="continuationSeparator" w:id="0">
    <w:p w:rsidR="00711D8F" w:rsidRDefault="00711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27" w:rsidRDefault="00711D8F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p w:rsidR="008E0E27" w:rsidRDefault="00711D8F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4"/>
      <w:gridCol w:w="6594"/>
      <w:gridCol w:w="1550"/>
    </w:tblGrid>
    <w:tr w:rsidR="008E0E27">
      <w:trPr>
        <w:trHeight w:val="36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E0E27" w:rsidRDefault="00711D8F">
          <w:pPr>
            <w:pStyle w:val="LO-normal"/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8E0E27" w:rsidRDefault="00711D8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E0E27" w:rsidRDefault="00711D8F">
          <w:pPr>
            <w:pStyle w:val="LO-normal"/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8E0E27">
      <w:trPr>
        <w:trHeight w:val="46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E0E27" w:rsidRDefault="008E0E27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8E0E27" w:rsidRDefault="00711D8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Акредитација студијског програма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E0E27" w:rsidRDefault="008E0E27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</w:tr>
    <w:tr w:rsidR="008E0E27">
      <w:trPr>
        <w:trHeight w:val="3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E0E27" w:rsidRDefault="008E0E27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8E0E27" w:rsidRDefault="00711D8F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Мастер академске студије историје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E0E27" w:rsidRDefault="008E0E27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:rsidR="008E0E27" w:rsidRDefault="00711D8F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         </w:t>
    </w:r>
  </w:p>
  <w:p w:rsidR="008E0E27" w:rsidRDefault="008E0E27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E0E27"/>
    <w:rsid w:val="00711D8F"/>
    <w:rsid w:val="007D7EC7"/>
    <w:rsid w:val="008E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3</cp:revision>
  <dcterms:created xsi:type="dcterms:W3CDTF">2020-10-12T09:04:00Z</dcterms:created>
  <dcterms:modified xsi:type="dcterms:W3CDTF">2020-10-12T09:04:00Z</dcterms:modified>
  <dc:language>sr-Latn-RS</dc:language>
</cp:coreProperties>
</file>