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A503" w14:textId="77777777" w:rsidR="00A22EF9" w:rsidRDefault="003D00BC">
      <w:pPr>
        <w:ind w:left="-540"/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>Спецификација  предмета</w:t>
      </w:r>
    </w:p>
    <w:p w14:paraId="4A681CBC" w14:textId="77777777" w:rsidR="00A22EF9" w:rsidRDefault="00A22EF9">
      <w:pPr>
        <w:ind w:left="-540"/>
        <w:rPr>
          <w:sz w:val="22"/>
          <w:szCs w:val="22"/>
        </w:rPr>
      </w:pPr>
    </w:p>
    <w:tbl>
      <w:tblPr>
        <w:tblStyle w:val="a"/>
        <w:tblW w:w="971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5"/>
        <w:gridCol w:w="943"/>
        <w:gridCol w:w="749"/>
        <w:gridCol w:w="1703"/>
        <w:gridCol w:w="539"/>
        <w:gridCol w:w="2079"/>
        <w:gridCol w:w="307"/>
        <w:gridCol w:w="1574"/>
      </w:tblGrid>
      <w:tr w:rsidR="00A22EF9" w14:paraId="3E1EA52D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3E6D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програм/студијски програми :  Филозофија</w:t>
            </w:r>
          </w:p>
        </w:tc>
      </w:tr>
      <w:tr w:rsidR="00A22EF9" w14:paraId="5CC4EF89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976C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Врста и ниво студија: мастер студије</w:t>
            </w:r>
          </w:p>
        </w:tc>
      </w:tr>
      <w:tr w:rsidR="00A22EF9" w14:paraId="7A0FF00F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4ACA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Назив предмета:  </w:t>
            </w:r>
            <w:r>
              <w:rPr>
                <w:sz w:val="22"/>
                <w:szCs w:val="22"/>
              </w:rPr>
              <w:t>Пресократска хенологија</w:t>
            </w:r>
          </w:p>
        </w:tc>
      </w:tr>
      <w:tr w:rsidR="00A22EF9" w14:paraId="5ED6DEBD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76FE" w14:textId="5F41D6D5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Наставник Горан Јаковљевић</w:t>
            </w:r>
          </w:p>
        </w:tc>
      </w:tr>
      <w:tr w:rsidR="00A22EF9" w14:paraId="53E8FF9F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EB26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предмета: изборни</w:t>
            </w:r>
          </w:p>
        </w:tc>
      </w:tr>
      <w:tr w:rsidR="00A22EF9" w14:paraId="14124AAF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697A" w14:textId="588A5925" w:rsidR="00A22EF9" w:rsidRDefault="003D00BC" w:rsidP="00AD04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Број ЕСПБ: </w:t>
            </w:r>
            <w:r w:rsidR="00AD0405">
              <w:rPr>
                <w:sz w:val="22"/>
                <w:szCs w:val="22"/>
              </w:rPr>
              <w:t>6</w:t>
            </w:r>
            <w:bookmarkStart w:id="0" w:name="_GoBack"/>
            <w:bookmarkEnd w:id="0"/>
          </w:p>
        </w:tc>
      </w:tr>
      <w:tr w:rsidR="00A22EF9" w14:paraId="3A3C21ED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DB7E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Услов: Нема услова</w:t>
            </w:r>
          </w:p>
        </w:tc>
      </w:tr>
      <w:tr w:rsidR="00A22EF9" w14:paraId="702E3A90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60EF" w14:textId="77777777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Циљ предмета</w:t>
            </w:r>
          </w:p>
          <w:p w14:paraId="67097083" w14:textId="77777777" w:rsidR="00A22EF9" w:rsidRDefault="003D00BC">
            <w:pPr>
              <w:rPr>
                <w:sz w:val="22"/>
                <w:szCs w:val="22"/>
              </w:rPr>
            </w:pPr>
            <w:r>
              <w:t>Усредсређивањем на следеће (α–θ) мотиве промислити и изразити најважније пресократске покушаје решења проблема једног и мноштва: (α) парменидовско просто, једино једно с оне стране сваког диференцирања, такође с оне стране диференцирања у материјално и идеално; (β) питагоровско једно као трострука јединица (трострука монада: аритметичко-геометријско-физички атом); (γ) Зеноновo доказивање постојања парменидовског једног свођењем постојања питагоровских јединица на апсурд; (δ) мелисовско просто, једино, материјално једно; (ε) хераклитовско једно-мноштво; (ζ) емпедокловско једно као ограничено измешанa мешавина коренâ; (η) анаксагоровско једно као неограничено измешана мешавина семена; (θ) демокритовско једно као физички атом.</w:t>
            </w:r>
          </w:p>
        </w:tc>
      </w:tr>
      <w:tr w:rsidR="00A22EF9" w14:paraId="10C66A28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9282" w14:textId="64922BB5" w:rsidR="00A22EF9" w:rsidRDefault="003D00B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Исход предмета: </w:t>
            </w:r>
            <w:r>
              <w:t xml:space="preserve"> Студент ће  моћи промислити и изразити најважније пресократске покушаје решења проблема једног и мноштва</w:t>
            </w:r>
            <w:r w:rsidR="00E42CD3">
              <w:t>.</w:t>
            </w:r>
          </w:p>
        </w:tc>
      </w:tr>
      <w:tr w:rsidR="00A22EF9" w14:paraId="3373BCF1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4DB6" w14:textId="77777777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Садржај предмета</w:t>
            </w:r>
          </w:p>
          <w:p w14:paraId="7928F609" w14:textId="77777777" w:rsidR="00A22EF9" w:rsidRDefault="003D00BC">
            <w:r>
              <w:t>Теме: тумачење следећих фрагмената пресократоваца: Парменид, D/K 28 B 2–8;Зенон, D/K 29 B1, A25–26;Мелис, D/K 30 B3, 7.1, 7.2, 7.7, 8.2, 8.5–6, 9;Хераклит, D/K 22 B 8, 10, 30, 49a, 50, 51, 52, 80, 123; Емпедокле, D/K 31 B2, 6, 13, 14, 15, 17, 35;Анаксагора, D/K 59 B3, 4, 11, 12, 17;Демокрит, D/K 68 B9, 118, 156.</w:t>
            </w:r>
          </w:p>
        </w:tc>
      </w:tr>
      <w:tr w:rsidR="00A22EF9" w14:paraId="144437EB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452F" w14:textId="77777777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Литература </w:t>
            </w:r>
          </w:p>
          <w:p w14:paraId="4B6E76B8" w14:textId="2AF668EA" w:rsidR="00E42CD3" w:rsidRDefault="00E42CD3">
            <w:pPr>
              <w:widowControl/>
              <w:jc w:val="both"/>
            </w:pPr>
            <w:bookmarkStart w:id="1" w:name="_gjdgxs" w:colFirst="0" w:colLast="0"/>
            <w:bookmarkEnd w:id="1"/>
            <w:r>
              <w:t xml:space="preserve">1. </w:t>
            </w:r>
            <w:r w:rsidR="003D00BC">
              <w:t xml:space="preserve">Diels, H. und Kranz, W. (1985). </w:t>
            </w:r>
            <w:r w:rsidR="003D00BC">
              <w:rPr>
                <w:i/>
              </w:rPr>
              <w:t>Die Fragmente der Vorsokratiker</w:t>
            </w:r>
            <w:r w:rsidR="003D00BC">
              <w:t>, sv. 1–2. Zürich; Berlin: Weidmann</w:t>
            </w:r>
            <w:r>
              <w:t xml:space="preserve"> </w:t>
            </w:r>
            <w:r w:rsidR="003D00BC">
              <w:t>(gore</w:t>
            </w:r>
            <w:r>
              <w:t xml:space="preserve"> </w:t>
            </w:r>
            <w:r w:rsidR="003D00BC">
              <w:t>pomenuti</w:t>
            </w:r>
            <w:r>
              <w:t xml:space="preserve"> </w:t>
            </w:r>
            <w:r w:rsidR="003D00BC">
              <w:t xml:space="preserve">fragmenti); </w:t>
            </w:r>
          </w:p>
          <w:p w14:paraId="47CE433B" w14:textId="5E978014" w:rsidR="00E42CD3" w:rsidRDefault="003D00BC">
            <w:pPr>
              <w:widowControl/>
              <w:jc w:val="both"/>
            </w:pPr>
            <w:r>
              <w:t xml:space="preserve">2. Diels, H. (1983). </w:t>
            </w:r>
            <w:r>
              <w:rPr>
                <w:i/>
              </w:rPr>
              <w:t>Predsokratovci</w:t>
            </w:r>
            <w:r>
              <w:t>, sv.I–II. Zagreb: Naprijed</w:t>
            </w:r>
            <w:r w:rsidR="00E42CD3">
              <w:t xml:space="preserve"> </w:t>
            </w:r>
            <w:r>
              <w:t>(gorepomenuti</w:t>
            </w:r>
            <w:r w:rsidR="00E42CD3">
              <w:t xml:space="preserve"> </w:t>
            </w:r>
            <w:r>
              <w:t xml:space="preserve">fragmenti); </w:t>
            </w:r>
          </w:p>
          <w:p w14:paraId="5118268C" w14:textId="77777777" w:rsidR="00E42CD3" w:rsidRDefault="003D00BC">
            <w:pPr>
              <w:widowControl/>
              <w:jc w:val="both"/>
            </w:pPr>
            <w:r>
              <w:t xml:space="preserve">3. Kirk, G. S. &amp; Raven, J. E. (1957). </w:t>
            </w:r>
            <w:r>
              <w:rPr>
                <w:i/>
              </w:rPr>
              <w:t>The Presocratic Philosophers</w:t>
            </w:r>
            <w:r>
              <w:t xml:space="preserve">. Cambridge: Cambridge University Press, str. 182–426; </w:t>
            </w:r>
          </w:p>
          <w:p w14:paraId="574C2EEC" w14:textId="77777777" w:rsidR="00E42CD3" w:rsidRDefault="003D00BC">
            <w:pPr>
              <w:widowControl/>
              <w:jc w:val="both"/>
            </w:pPr>
            <w:r>
              <w:t xml:space="preserve">4. Žunjić, S. (1988). </w:t>
            </w:r>
            <w:r>
              <w:rPr>
                <w:i/>
              </w:rPr>
              <w:t>Aristotel i henologija</w:t>
            </w:r>
            <w:r>
              <w:t xml:space="preserve">. Beograd: Prosveta,str. 19–88; </w:t>
            </w:r>
          </w:p>
          <w:p w14:paraId="3DEA79D6" w14:textId="77777777" w:rsidR="00E42CD3" w:rsidRDefault="003D00BC">
            <w:pPr>
              <w:widowControl/>
              <w:jc w:val="both"/>
            </w:pPr>
            <w:r>
              <w:t xml:space="preserve">5. Jakovljević, G. (1997). „Hajdegerova interpretacija Heraklita i Parmenida”, u: </w:t>
            </w:r>
            <w:r>
              <w:rPr>
                <w:i/>
              </w:rPr>
              <w:t>Gradina</w:t>
            </w:r>
            <w:r>
              <w:t xml:space="preserve">, XXXII/6, str. 45–57; 6.Jakovljević, G. (2017). „Parmenidova ontologija”, u: </w:t>
            </w:r>
            <w:r>
              <w:rPr>
                <w:i/>
              </w:rPr>
              <w:t>Društvene nauke pred izazovima savremenog društva</w:t>
            </w:r>
            <w:r>
              <w:t xml:space="preserve">, zbornik radova,Filozofski fakultet u Nišu, str. 27–33; </w:t>
            </w:r>
          </w:p>
          <w:p w14:paraId="5C7F21E5" w14:textId="4A23934D" w:rsidR="00A22EF9" w:rsidRDefault="003D00BC">
            <w:pPr>
              <w:widowControl/>
              <w:jc w:val="both"/>
              <w:rPr>
                <w:sz w:val="22"/>
                <w:szCs w:val="22"/>
              </w:rPr>
            </w:pPr>
            <w:r>
              <w:t xml:space="preserve">7. Jakovljević, G.(2018). „Prevazilaženje Melisovog hiletičkog monizma i problem nužnosti i slučajnosti u Demokritovom atomizmu”, u: </w:t>
            </w:r>
            <w:r>
              <w:rPr>
                <w:i/>
              </w:rPr>
              <w:t>Teme</w:t>
            </w:r>
            <w:r>
              <w:t>,</w:t>
            </w:r>
            <w:r w:rsidR="00E42CD3">
              <w:t xml:space="preserve"> </w:t>
            </w:r>
            <w:r>
              <w:t>XLII/2, str. 709–723.</w:t>
            </w:r>
          </w:p>
        </w:tc>
      </w:tr>
      <w:tr w:rsidR="00A22EF9" w14:paraId="1492AEBF" w14:textId="77777777">
        <w:tc>
          <w:tcPr>
            <w:tcW w:w="7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1F12A" w14:textId="77777777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Број часова  активне наставе </w:t>
            </w:r>
          </w:p>
        </w:tc>
        <w:tc>
          <w:tcPr>
            <w:tcW w:w="1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93F9" w14:textId="77777777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Остали часови</w:t>
            </w:r>
          </w:p>
        </w:tc>
      </w:tr>
      <w:tr w:rsidR="00A22EF9" w14:paraId="51DD0EE2" w14:textId="77777777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8F74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Предавања: 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4C93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Вежбе: 2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91C6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 облици наставе: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21C4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истраживачки рад:</w:t>
            </w:r>
          </w:p>
          <w:p w14:paraId="3E64FE98" w14:textId="77777777" w:rsidR="00A22EF9" w:rsidRDefault="00A22EF9">
            <w:pPr>
              <w:rPr>
                <w:sz w:val="22"/>
                <w:szCs w:val="22"/>
              </w:rPr>
            </w:pPr>
          </w:p>
        </w:tc>
        <w:tc>
          <w:tcPr>
            <w:tcW w:w="18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F55F" w14:textId="77777777" w:rsidR="00A22EF9" w:rsidRDefault="00A22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A22EF9" w14:paraId="057A847B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D7FC" w14:textId="77777777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Методе извођења наставе</w:t>
            </w:r>
          </w:p>
          <w:p w14:paraId="57BA96E4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Дијалошка метода, монолошка метода, херменеутичка у разумевању изворних текстова.</w:t>
            </w:r>
          </w:p>
          <w:p w14:paraId="2C3B9972" w14:textId="77777777" w:rsidR="00A22EF9" w:rsidRDefault="00A22EF9">
            <w:pPr>
              <w:rPr>
                <w:sz w:val="22"/>
                <w:szCs w:val="22"/>
              </w:rPr>
            </w:pPr>
          </w:p>
        </w:tc>
      </w:tr>
      <w:tr w:rsidR="00A22EF9" w14:paraId="52FC9E95" w14:textId="77777777">
        <w:tc>
          <w:tcPr>
            <w:tcW w:w="9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22E6" w14:textId="77777777" w:rsidR="00A22EF9" w:rsidRDefault="003D00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A22EF9" w14:paraId="067C1C83" w14:textId="77777777">
        <w:tc>
          <w:tcPr>
            <w:tcW w:w="3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897A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F4DF" w14:textId="77777777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8E9E7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030F" w14:textId="77777777" w:rsidR="00A22EF9" w:rsidRDefault="003D00B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поена</w:t>
            </w:r>
          </w:p>
        </w:tc>
      </w:tr>
      <w:tr w:rsidR="00A22EF9" w14:paraId="04A20237" w14:textId="77777777">
        <w:tc>
          <w:tcPr>
            <w:tcW w:w="3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7AB2" w14:textId="77777777" w:rsidR="00A22EF9" w:rsidRDefault="003D00B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активност у току предавања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E5D7" w14:textId="77777777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4784" w14:textId="77777777" w:rsidR="00A22EF9" w:rsidRDefault="003D00B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67B3" w14:textId="77777777" w:rsidR="00A22EF9" w:rsidRDefault="00A22EF9">
            <w:pPr>
              <w:rPr>
                <w:i/>
                <w:sz w:val="22"/>
                <w:szCs w:val="22"/>
              </w:rPr>
            </w:pPr>
          </w:p>
        </w:tc>
      </w:tr>
      <w:tr w:rsidR="00A22EF9" w14:paraId="0C658DB8" w14:textId="77777777">
        <w:tc>
          <w:tcPr>
            <w:tcW w:w="3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BB6B2" w14:textId="77777777" w:rsidR="00A22EF9" w:rsidRDefault="003D00B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практична настава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A5C7" w14:textId="583CCE69" w:rsidR="00A22EF9" w:rsidRDefault="00E42CD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9856" w14:textId="77777777" w:rsidR="00A22EF9" w:rsidRDefault="003D00B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усмени испт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B4C" w14:textId="77777777" w:rsidR="00A22EF9" w:rsidRDefault="003D00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  <w:tr w:rsidR="00A22EF9" w14:paraId="4D6BD9EE" w14:textId="77777777">
        <w:tc>
          <w:tcPr>
            <w:tcW w:w="3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9008" w14:textId="77777777" w:rsidR="00A22EF9" w:rsidRDefault="003D00B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колоквијум-и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419F" w14:textId="77777777" w:rsidR="00A22EF9" w:rsidRDefault="00A22EF9">
            <w:pPr>
              <w:rPr>
                <w:b/>
                <w:sz w:val="22"/>
                <w:szCs w:val="22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4BE0" w14:textId="77777777" w:rsidR="00A22EF9" w:rsidRDefault="003D00B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..........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A56C" w14:textId="77777777" w:rsidR="00A22EF9" w:rsidRDefault="00A22EF9">
            <w:pPr>
              <w:rPr>
                <w:i/>
                <w:sz w:val="22"/>
                <w:szCs w:val="22"/>
              </w:rPr>
            </w:pPr>
          </w:p>
        </w:tc>
      </w:tr>
      <w:tr w:rsidR="00A22EF9" w14:paraId="4E872D9A" w14:textId="77777777">
        <w:tc>
          <w:tcPr>
            <w:tcW w:w="3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540E" w14:textId="77777777" w:rsidR="00A22EF9" w:rsidRDefault="003D00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семинар-и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79B2" w14:textId="77777777" w:rsidR="00A22EF9" w:rsidRDefault="00A22EF9">
            <w:pPr>
              <w:rPr>
                <w:b/>
                <w:sz w:val="22"/>
                <w:szCs w:val="22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8EFC" w14:textId="77777777" w:rsidR="00A22EF9" w:rsidRDefault="00A22EF9">
            <w:pPr>
              <w:rPr>
                <w:i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33FC" w14:textId="77777777" w:rsidR="00A22EF9" w:rsidRDefault="00A22EF9">
            <w:pPr>
              <w:rPr>
                <w:i/>
                <w:sz w:val="22"/>
                <w:szCs w:val="22"/>
              </w:rPr>
            </w:pPr>
          </w:p>
        </w:tc>
      </w:tr>
    </w:tbl>
    <w:p w14:paraId="32ED4BBB" w14:textId="77777777" w:rsidR="00A22EF9" w:rsidRDefault="00A22EF9">
      <w:pPr>
        <w:ind w:left="-540"/>
        <w:rPr>
          <w:sz w:val="22"/>
          <w:szCs w:val="22"/>
        </w:rPr>
      </w:pPr>
    </w:p>
    <w:p w14:paraId="547F1628" w14:textId="77777777" w:rsidR="00A22EF9" w:rsidRDefault="00A22EF9"/>
    <w:sectPr w:rsidR="00A22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AE773" w14:textId="77777777" w:rsidR="008638F1" w:rsidRDefault="008638F1">
      <w:r>
        <w:separator/>
      </w:r>
    </w:p>
  </w:endnote>
  <w:endnote w:type="continuationSeparator" w:id="0">
    <w:p w14:paraId="65B4F53D" w14:textId="77777777" w:rsidR="008638F1" w:rsidRDefault="0086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7415C" w14:textId="77777777" w:rsidR="00A22EF9" w:rsidRDefault="00A22E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62993" w14:textId="77777777" w:rsidR="00A22EF9" w:rsidRDefault="003D00BC">
    <w:pPr>
      <w:jc w:val="center"/>
      <w:rPr>
        <w:u w:val="single"/>
      </w:rPr>
    </w:pPr>
    <w:r>
      <w:rPr>
        <w:u w:val="single"/>
      </w:rPr>
      <w:t>www.filfak.ni.ac.rs</w:t>
    </w:r>
  </w:p>
  <w:p w14:paraId="6ED5C9D6" w14:textId="77777777" w:rsidR="00A22EF9" w:rsidRDefault="00A22E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34EF5" w14:textId="77777777" w:rsidR="00A22EF9" w:rsidRDefault="00A22E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C2DA4" w14:textId="77777777" w:rsidR="008638F1" w:rsidRDefault="008638F1">
      <w:r>
        <w:separator/>
      </w:r>
    </w:p>
  </w:footnote>
  <w:footnote w:type="continuationSeparator" w:id="0">
    <w:p w14:paraId="1E82F92C" w14:textId="77777777" w:rsidR="008638F1" w:rsidRDefault="0086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B10AF" w14:textId="77777777" w:rsidR="00A22EF9" w:rsidRDefault="00A22E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A507B" w14:textId="77777777" w:rsidR="00A22EF9" w:rsidRDefault="00A22EF9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0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A22EF9" w14:paraId="5A775701" w14:textId="77777777">
      <w:trPr>
        <w:trHeight w:val="360"/>
        <w:jc w:val="center"/>
      </w:trPr>
      <w:tc>
        <w:tcPr>
          <w:tcW w:w="151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4CE6796" w14:textId="77777777" w:rsidR="00A22EF9" w:rsidRDefault="003D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left="-139"/>
            <w:jc w:val="both"/>
            <w:rPr>
              <w:color w:val="000000"/>
              <w:sz w:val="18"/>
              <w:szCs w:val="18"/>
            </w:rPr>
          </w:pPr>
          <w:r>
            <w:rPr>
              <w:noProof/>
              <w:lang w:val="en-US" w:eastAsia="en-US" w:bidi="ar-SA"/>
            </w:rPr>
            <w:drawing>
              <wp:anchor distT="0" distB="0" distL="114300" distR="114300" simplePos="0" relativeHeight="251658240" behindDoc="0" locked="0" layoutInCell="1" hidden="0" allowOverlap="1" wp14:anchorId="0F456EC9" wp14:editId="75B7C0DA">
                <wp:simplePos x="0" y="0"/>
                <wp:positionH relativeFrom="column">
                  <wp:posOffset>26036</wp:posOffset>
                </wp:positionH>
                <wp:positionV relativeFrom="paragraph">
                  <wp:posOffset>1270</wp:posOffset>
                </wp:positionV>
                <wp:extent cx="806450" cy="790575"/>
                <wp:effectExtent l="0" t="0" r="0" b="0"/>
                <wp:wrapNone/>
                <wp:docPr id="1" name="image1.jpg" descr="grbBRAONtransp2x2300dp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grbBRAONtransp2x2300dp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6450" cy="7905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6D68A45B" w14:textId="77777777" w:rsidR="00A22EF9" w:rsidRDefault="003D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6276201B" w14:textId="77777777" w:rsidR="00A22EF9" w:rsidRDefault="003D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8BA9F1F" w14:textId="77777777" w:rsidR="00A22EF9" w:rsidRDefault="003D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noProof/>
              <w:lang w:val="en-US" w:eastAsia="en-US" w:bidi="ar-SA"/>
            </w:rPr>
            <w:drawing>
              <wp:anchor distT="0" distB="0" distL="114300" distR="114300" simplePos="0" relativeHeight="251659264" behindDoc="0" locked="0" layoutInCell="1" hidden="0" allowOverlap="1" wp14:anchorId="256E4F00" wp14:editId="13D98ABE">
                <wp:simplePos x="0" y="0"/>
                <wp:positionH relativeFrom="column">
                  <wp:posOffset>19686</wp:posOffset>
                </wp:positionH>
                <wp:positionV relativeFrom="paragraph">
                  <wp:posOffset>1270</wp:posOffset>
                </wp:positionV>
                <wp:extent cx="806450" cy="803275"/>
                <wp:effectExtent l="0" t="0" r="0" b="0"/>
                <wp:wrapNone/>
                <wp:docPr id="2" name="image2.jpg" descr="Filfakznak blue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Filfakznak blue2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6450" cy="8032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A22EF9" w14:paraId="70D473F2" w14:textId="77777777">
      <w:trPr>
        <w:trHeight w:val="460"/>
        <w:jc w:val="center"/>
      </w:trPr>
      <w:tc>
        <w:tcPr>
          <w:tcW w:w="151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F51AD09" w14:textId="77777777" w:rsidR="00A22EF9" w:rsidRDefault="00A22EF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14:paraId="6B680CC8" w14:textId="77777777" w:rsidR="00A22EF9" w:rsidRDefault="003D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1BF3EAF" w14:textId="77777777" w:rsidR="00A22EF9" w:rsidRDefault="00A22EF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  <w:tr w:rsidR="00A22EF9" w14:paraId="04476386" w14:textId="77777777">
      <w:trPr>
        <w:trHeight w:val="340"/>
        <w:jc w:val="center"/>
      </w:trPr>
      <w:tc>
        <w:tcPr>
          <w:tcW w:w="151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17109D8" w14:textId="77777777" w:rsidR="00A22EF9" w:rsidRDefault="00A22EF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  <w:tc>
        <w:tcPr>
          <w:tcW w:w="659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089371EC" w14:textId="77777777" w:rsidR="00A22EF9" w:rsidRDefault="003D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филозофије</w:t>
          </w:r>
        </w:p>
      </w:tc>
      <w:tc>
        <w:tcPr>
          <w:tcW w:w="1548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B862508" w14:textId="77777777" w:rsidR="00A22EF9" w:rsidRDefault="00A22EF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</w:tbl>
  <w:p w14:paraId="41C1C753" w14:textId="77777777" w:rsidR="00A22EF9" w:rsidRDefault="00A22E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ED474" w14:textId="77777777" w:rsidR="00A22EF9" w:rsidRDefault="00A22EF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F9"/>
    <w:rsid w:val="003D00BC"/>
    <w:rsid w:val="008638F1"/>
    <w:rsid w:val="00A22EF9"/>
    <w:rsid w:val="00AD0405"/>
    <w:rsid w:val="00E4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47BF"/>
  <w15:docId w15:val="{ABFB8AB6-AA57-4504-8302-73E14FB0D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Cyrl-RS" w:bidi="sa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Jarvis</cp:lastModifiedBy>
  <cp:revision>3</cp:revision>
  <dcterms:created xsi:type="dcterms:W3CDTF">2020-09-06T22:08:00Z</dcterms:created>
  <dcterms:modified xsi:type="dcterms:W3CDTF">2020-09-15T15:15:00Z</dcterms:modified>
</cp:coreProperties>
</file>