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F7E" w:rsidRDefault="005C0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62F7E" w:rsidRDefault="00562F7E">
      <w:pPr>
        <w:rPr>
          <w:rFonts w:ascii="Times New Roman" w:hAnsi="Times New Roman" w:cs="Times New Roman"/>
        </w:rPr>
      </w:pPr>
    </w:p>
    <w:p w:rsidR="00562F7E" w:rsidRDefault="005C0B5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ИНТЕРНИ ПРОЈЕКАТ ФИЛОЗОФСКОГ ФАКУЛТЕТА У НИШУ</w:t>
      </w:r>
    </w:p>
    <w:p w:rsidR="00562F7E" w:rsidRDefault="005C0B5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proofErr w:type="spellStart"/>
      <w:r>
        <w:rPr>
          <w:rFonts w:ascii="Times New Roman" w:hAnsi="Times New Roman" w:cs="Times New Roman"/>
          <w:b/>
        </w:rPr>
        <w:t>академска</w:t>
      </w:r>
      <w:proofErr w:type="spellEnd"/>
      <w:r>
        <w:rPr>
          <w:rFonts w:ascii="Times New Roman" w:hAnsi="Times New Roman" w:cs="Times New Roman"/>
          <w:b/>
        </w:rPr>
        <w:t xml:space="preserve"> 2019/2020. </w:t>
      </w:r>
      <w:proofErr w:type="spellStart"/>
      <w:r>
        <w:rPr>
          <w:rFonts w:ascii="Times New Roman" w:hAnsi="Times New Roman" w:cs="Times New Roman"/>
          <w:b/>
        </w:rPr>
        <w:t>година</w:t>
      </w:r>
      <w:proofErr w:type="spellEnd"/>
      <w:r>
        <w:rPr>
          <w:rFonts w:ascii="Times New Roman" w:hAnsi="Times New Roman" w:cs="Times New Roman"/>
          <w:b/>
        </w:rPr>
        <w:t>)</w:t>
      </w:r>
    </w:p>
    <w:p w:rsidR="00562F7E" w:rsidRDefault="00562F7E">
      <w:pPr>
        <w:jc w:val="both"/>
        <w:rPr>
          <w:rFonts w:ascii="Times New Roman" w:hAnsi="Times New Roman" w:cs="Times New Roman"/>
        </w:rPr>
      </w:pPr>
    </w:p>
    <w:p w:rsidR="00562F7E" w:rsidRDefault="00562F7E">
      <w:pPr>
        <w:jc w:val="both"/>
        <w:rPr>
          <w:rFonts w:ascii="Times New Roman" w:hAnsi="Times New Roman" w:cs="Times New Roman"/>
        </w:rPr>
      </w:pPr>
    </w:p>
    <w:p w:rsidR="00562F7E" w:rsidRDefault="00562F7E">
      <w:pPr>
        <w:jc w:val="both"/>
        <w:rPr>
          <w:rFonts w:ascii="Times New Roman" w:hAnsi="Times New Roman" w:cs="Times New Roman"/>
        </w:rPr>
      </w:pPr>
    </w:p>
    <w:p w:rsidR="00562F7E" w:rsidRDefault="00562F7E">
      <w:pPr>
        <w:jc w:val="both"/>
        <w:rPr>
          <w:rFonts w:ascii="Times New Roman" w:hAnsi="Times New Roman" w:cs="Times New Roman"/>
        </w:rPr>
      </w:pPr>
    </w:p>
    <w:tbl>
      <w:tblPr>
        <w:tblW w:w="94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305"/>
        <w:gridCol w:w="7095"/>
      </w:tblGrid>
      <w:tr w:rsidR="00562F7E">
        <w:tc>
          <w:tcPr>
            <w:tcW w:w="2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Департман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који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реализује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пројекат</w:t>
            </w:r>
            <w:proofErr w:type="spellEnd"/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2F7E" w:rsidRDefault="005C0B5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</w:rPr>
              <w:t xml:space="preserve">ДЕПАРТМАН ЗА </w:t>
            </w:r>
            <w:r>
              <w:rPr>
                <w:rFonts w:ascii="Times New Roman" w:hAnsi="Times New Roman" w:cs="Times New Roman"/>
                <w:lang/>
              </w:rPr>
              <w:t>СОЦИЈАЛНУ ПОЛИТИКУ И СОЦИЈАЛНИ РАД</w:t>
            </w:r>
          </w:p>
        </w:tc>
      </w:tr>
      <w:tr w:rsidR="00562F7E">
        <w:tc>
          <w:tcPr>
            <w:tcW w:w="2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пројекта</w:t>
            </w:r>
            <w:proofErr w:type="spellEnd"/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2F7E" w:rsidRPr="00E603BB" w:rsidRDefault="005C0B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i/>
                <w:lang/>
              </w:rPr>
              <w:t xml:space="preserve">Евалуација и јачање капацитета основних академских студија </w:t>
            </w:r>
            <w:r>
              <w:rPr>
                <w:rFonts w:ascii="Times New Roman" w:hAnsi="Times New Roman" w:cs="Times New Roman"/>
                <w:i/>
                <w:lang/>
              </w:rPr>
              <w:t>социјалне политике и социјалног рада</w:t>
            </w:r>
            <w:r w:rsidR="00E603B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bookmarkStart w:id="0" w:name="_GoBack"/>
            <w:r w:rsidR="00E603BB">
              <w:rPr>
                <w:rFonts w:ascii="Times New Roman" w:hAnsi="Times New Roman" w:cs="Times New Roman"/>
                <w:i/>
                <w:lang w:val="sr-Cyrl-RS"/>
              </w:rPr>
              <w:t>(наставак пројекта)</w:t>
            </w:r>
            <w:bookmarkEnd w:id="0"/>
          </w:p>
        </w:tc>
      </w:tr>
      <w:tr w:rsidR="00562F7E">
        <w:tc>
          <w:tcPr>
            <w:tcW w:w="2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Руководилац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пројекта</w:t>
            </w:r>
            <w:proofErr w:type="spellEnd"/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Проф. др Лела Милошевић Радуловић</w:t>
            </w:r>
          </w:p>
        </w:tc>
      </w:tr>
      <w:tr w:rsidR="00562F7E">
        <w:tc>
          <w:tcPr>
            <w:tcW w:w="2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Секретар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пројекта</w:t>
            </w:r>
            <w:proofErr w:type="spellEnd"/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Љиљана Скробић</w:t>
            </w:r>
          </w:p>
        </w:tc>
      </w:tr>
    </w:tbl>
    <w:p w:rsidR="00562F7E" w:rsidRDefault="00562F7E">
      <w:pPr>
        <w:ind w:left="284" w:hanging="284"/>
        <w:jc w:val="both"/>
        <w:rPr>
          <w:rFonts w:ascii="Times New Roman" w:hAnsi="Times New Roman" w:cs="Times New Roman"/>
        </w:rPr>
      </w:pPr>
    </w:p>
    <w:p w:rsidR="00562F7E" w:rsidRDefault="00562F7E">
      <w:pPr>
        <w:ind w:left="709" w:hanging="709"/>
        <w:jc w:val="both"/>
        <w:rPr>
          <w:rFonts w:ascii="Times New Roman" w:hAnsi="Times New Roman" w:cs="Times New Roman"/>
        </w:rPr>
      </w:pPr>
    </w:p>
    <w:p w:rsidR="00562F7E" w:rsidRDefault="005C0B54">
      <w:pPr>
        <w:rPr>
          <w:rFonts w:ascii="Times New Roman" w:hAnsi="Times New Roman" w:cs="Times New Roman"/>
        </w:rPr>
      </w:pPr>
      <w:r>
        <w:br w:type="page"/>
      </w:r>
    </w:p>
    <w:p w:rsidR="00562F7E" w:rsidRDefault="00562F7E">
      <w:pPr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4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36"/>
        <w:gridCol w:w="8229"/>
      </w:tblGrid>
      <w:tr w:rsidR="00562F7E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Образложење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пројекта</w:t>
            </w:r>
            <w:proofErr w:type="spellEnd"/>
          </w:p>
        </w:tc>
        <w:tc>
          <w:tcPr>
            <w:tcW w:w="8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образложење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његова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сврха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контекст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проистиче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значај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који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његова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реализација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Обим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образложења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3.000 </w:t>
            </w:r>
            <w:proofErr w:type="spellStart"/>
            <w:r>
              <w:rPr>
                <w:rFonts w:ascii="Times New Roman" w:hAnsi="Times New Roman" w:cs="Times New Roman"/>
              </w:rPr>
              <w:t>карактера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размацима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62F7E" w:rsidRDefault="00562F7E">
            <w:pPr>
              <w:jc w:val="both"/>
              <w:rPr>
                <w:rFonts w:ascii="Times New Roman" w:hAnsi="Times New Roman" w:cs="Times New Roman"/>
              </w:rPr>
            </w:pPr>
          </w:p>
          <w:p w:rsidR="00562F7E" w:rsidRDefault="005C0B54">
            <w:pPr>
              <w:pStyle w:val="NormalWeb"/>
              <w:spacing w:beforeAutospacing="0" w:after="0" w:line="360" w:lineRule="auto"/>
              <w:jc w:val="both"/>
              <w:rPr>
                <w:bCs/>
                <w:iCs/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</w:rPr>
              <w:t xml:space="preserve">Студијски програм за социјалну политику и социјални рад настао је као резултат рада на ТЕМПУС пројекту ”Јачање високог образовања у области социјалне политике и </w:t>
            </w:r>
            <w:r>
              <w:rPr>
                <w:color w:val="000000"/>
                <w:sz w:val="22"/>
                <w:szCs w:val="22"/>
              </w:rPr>
              <w:t>социјалне заштите” (Strengthening Higher Education for Social Policy making and Social Services delivery – SHESPSS), који је финансирала Европска комисија – EACEA (Education, Audiovisual and Culture Executive Agency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С обзиром на то да се ради о новооснова</w:t>
            </w:r>
            <w:r>
              <w:rPr>
                <w:color w:val="000000"/>
                <w:sz w:val="22"/>
                <w:szCs w:val="22"/>
              </w:rPr>
              <w:t xml:space="preserve">ном Департману </w:t>
            </w:r>
            <w:r>
              <w:rPr>
                <w:color w:val="000000"/>
                <w:sz w:val="22"/>
                <w:szCs w:val="22"/>
                <w:lang w:val="sr-Latn-RS"/>
              </w:rPr>
              <w:t>(</w:t>
            </w:r>
            <w:r>
              <w:rPr>
                <w:color w:val="000000"/>
                <w:sz w:val="22"/>
                <w:szCs w:val="22"/>
              </w:rPr>
              <w:t xml:space="preserve">прва генерација студената је уписана 2016. године) </w:t>
            </w:r>
            <w:r>
              <w:rPr>
                <w:color w:val="000000"/>
                <w:sz w:val="22"/>
                <w:szCs w:val="22"/>
              </w:rPr>
              <w:t>за који постоји велика заинтересованост будућих студената</w:t>
            </w:r>
            <w:r>
              <w:rPr>
                <w:color w:val="000000"/>
                <w:sz w:val="22"/>
                <w:szCs w:val="22"/>
              </w:rPr>
              <w:t xml:space="preserve">, током </w:t>
            </w:r>
            <w:r>
              <w:rPr>
                <w:sz w:val="22"/>
                <w:szCs w:val="22"/>
              </w:rPr>
              <w:t xml:space="preserve">прошлогодишњег пројектног циклуса </w:t>
            </w:r>
            <w:r>
              <w:rPr>
                <w:sz w:val="22"/>
                <w:szCs w:val="22"/>
              </w:rPr>
              <w:t xml:space="preserve">чланови пројектног тима су започели рад на </w:t>
            </w:r>
            <w:r>
              <w:rPr>
                <w:color w:val="000000"/>
                <w:sz w:val="22"/>
                <w:szCs w:val="22"/>
              </w:rPr>
              <w:t>јачању капацитета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Основних академских </w:t>
            </w:r>
            <w:r>
              <w:rPr>
                <w:sz w:val="22"/>
                <w:szCs w:val="22"/>
              </w:rPr>
              <w:t>студија</w:t>
            </w:r>
            <w:r>
              <w:rPr>
                <w:sz w:val="22"/>
                <w:szCs w:val="22"/>
                <w:lang w:val="sr-Latn-RS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</w:rPr>
              <w:t>како би се постигао што бољи квалитет студија</w:t>
            </w:r>
            <w:r>
              <w:rPr>
                <w:bCs/>
                <w:iCs/>
                <w:color w:val="000000"/>
                <w:sz w:val="22"/>
                <w:szCs w:val="22"/>
              </w:rPr>
              <w:t>,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</w:rPr>
              <w:t>а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кроз спровођење континуиране евалуације креи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рао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материјал за прву реакредитацију. </w:t>
            </w:r>
          </w:p>
          <w:p w:rsidR="00562F7E" w:rsidRDefault="00562F7E">
            <w:pPr>
              <w:pStyle w:val="NormalWeb"/>
              <w:spacing w:beforeAutospacing="0" w:after="0" w:line="360" w:lineRule="auto"/>
              <w:jc w:val="both"/>
              <w:rPr>
                <w:bCs/>
                <w:iCs/>
                <w:color w:val="000000"/>
                <w:sz w:val="22"/>
                <w:szCs w:val="22"/>
                <w:lang w:val="sr-Latn-RS"/>
              </w:rPr>
            </w:pPr>
          </w:p>
          <w:p w:rsidR="00562F7E" w:rsidRDefault="005C0B54">
            <w:pPr>
              <w:pStyle w:val="NormalWeb"/>
              <w:spacing w:beforeAutospacing="0" w:after="0" w:line="360" w:lineRule="auto"/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 xml:space="preserve">Овогодишњи пројекат је наставак прошлогодишњег пројектног циклуса. </w:t>
            </w:r>
            <w:r>
              <w:rPr>
                <w:sz w:val="22"/>
                <w:szCs w:val="22"/>
              </w:rPr>
              <w:t>Нови пројектни циклус осмишљен је тако да подра</w:t>
            </w:r>
            <w:r>
              <w:rPr>
                <w:sz w:val="22"/>
                <w:szCs w:val="22"/>
              </w:rPr>
              <w:t xml:space="preserve">зумева </w:t>
            </w:r>
            <w:r>
              <w:rPr>
                <w:sz w:val="22"/>
                <w:szCs w:val="22"/>
              </w:rPr>
              <w:t xml:space="preserve">наставак сарадње са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државним факултетима у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нашој земљи и у </w:t>
            </w:r>
            <w:r>
              <w:rPr>
                <w:bCs/>
                <w:iCs/>
                <w:color w:val="000000"/>
                <w:sz w:val="22"/>
                <w:szCs w:val="22"/>
              </w:rPr>
              <w:t>земљама у окружењу на којима се изводи настава на Основним академским студијама социјалне политике и социјалног рада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и наставак сарадње с установама социјалне заштите и релевантним удружењим</w:t>
            </w:r>
            <w:r>
              <w:rPr>
                <w:bCs/>
                <w:iCs/>
                <w:color w:val="000000"/>
                <w:sz w:val="22"/>
                <w:szCs w:val="22"/>
              </w:rPr>
              <w:t>а и организацијама цивилног сектора у Нишу. У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спостављање сарадње са другим државним факултетима у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нашој </w:t>
            </w:r>
            <w:r>
              <w:rPr>
                <w:bCs/>
                <w:iCs/>
                <w:color w:val="000000"/>
                <w:sz w:val="22"/>
                <w:szCs w:val="22"/>
              </w:rPr>
              <w:t>земљ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и и земљама </w:t>
            </w:r>
            <w:r>
              <w:rPr>
                <w:bCs/>
                <w:iCs/>
                <w:color w:val="000000"/>
                <w:sz w:val="22"/>
                <w:szCs w:val="22"/>
              </w:rPr>
              <w:t>у окружењу на којима се изводи настава на Основним академским студијама социјалне политике и социјалног рада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може да допринесе унапређи</w:t>
            </w:r>
            <w:r>
              <w:rPr>
                <w:bCs/>
                <w:iCs/>
                <w:color w:val="000000"/>
                <w:sz w:val="22"/>
                <w:szCs w:val="22"/>
              </w:rPr>
              <w:t>вању квалитета наставног програма и наставног процеса, а сарадња с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установама социјалне заштите и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</w:rPr>
              <w:t>релевантним удружењима и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организацијама цивилног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сектора у Нишу </w:t>
            </w:r>
            <w:r>
              <w:rPr>
                <w:bCs/>
                <w:iCs/>
                <w:color w:val="000000"/>
                <w:sz w:val="22"/>
                <w:szCs w:val="22"/>
              </w:rPr>
              <w:t>може да допринесе успешнијој реализацији праксе.</w:t>
            </w:r>
          </w:p>
          <w:p w:rsidR="00562F7E" w:rsidRDefault="00562F7E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color w:val="000000" w:themeColor="text1"/>
                <w:sz w:val="22"/>
                <w:szCs w:val="22"/>
                <w:lang/>
              </w:rPr>
            </w:pPr>
          </w:p>
          <w:p w:rsidR="00562F7E" w:rsidRDefault="005C0B54">
            <w:pPr>
              <w:pStyle w:val="Textbody"/>
              <w:widowControl/>
              <w:spacing w:after="0" w:line="360" w:lineRule="auto"/>
              <w:jc w:val="both"/>
            </w:pP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Стручна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пракса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је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веома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значајан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сегмент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000000" w:themeColor="text1"/>
                <w:sz w:val="22"/>
                <w:szCs w:val="22"/>
                <w:lang/>
              </w:rPr>
              <w:t>обр</w:t>
            </w:r>
            <w:r>
              <w:rPr>
                <w:rFonts w:cs="Times New Roman"/>
                <w:color w:val="000000" w:themeColor="text1"/>
                <w:sz w:val="22"/>
                <w:szCs w:val="22"/>
                <w:lang/>
              </w:rPr>
              <w:t xml:space="preserve">азовања социјалних радника. </w:t>
            </w:r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У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складу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тим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потребно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је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урадити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000000" w:themeColor="text1"/>
                <w:sz w:val="22"/>
                <w:szCs w:val="22"/>
                <w:lang/>
              </w:rPr>
              <w:t xml:space="preserve">анализу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евалуациј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  <w:lang/>
              </w:rPr>
              <w:t>е</w:t>
            </w:r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стручне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праксе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која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је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обављена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осмислити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начине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њено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што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ефикасније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ефективније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организовање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будућности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  <w:lang/>
              </w:rPr>
              <w:t>.</w:t>
            </w:r>
          </w:p>
          <w:p w:rsidR="00562F7E" w:rsidRDefault="00562F7E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color w:val="000000" w:themeColor="text1"/>
                <w:sz w:val="22"/>
                <w:szCs w:val="22"/>
                <w:lang/>
              </w:rPr>
            </w:pPr>
          </w:p>
          <w:p w:rsidR="00562F7E" w:rsidRDefault="005C0B54">
            <w:pPr>
              <w:pStyle w:val="Textbody"/>
              <w:widowControl/>
              <w:spacing w:after="0" w:line="360" w:lineRule="auto"/>
              <w:jc w:val="both"/>
              <w:rPr>
                <w:color w:val="000000" w:themeColor="text1"/>
                <w:sz w:val="22"/>
                <w:szCs w:val="22"/>
                <w:lang/>
              </w:rPr>
            </w:pPr>
            <w:proofErr w:type="spellStart"/>
            <w:r>
              <w:rPr>
                <w:bCs/>
                <w:color w:val="000000" w:themeColor="text1"/>
                <w:sz w:val="22"/>
                <w:szCs w:val="22"/>
              </w:rPr>
              <w:t>А</w:t>
            </w:r>
            <w:r>
              <w:rPr>
                <w:color w:val="000000" w:themeColor="text1"/>
                <w:sz w:val="22"/>
                <w:szCs w:val="22"/>
              </w:rPr>
              <w:t>кредитован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студијски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програм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за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реализацију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стручне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праксе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предвиђа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установе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здравствене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социјалне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заштите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међутим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како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је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један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од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циљева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образовања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будућих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социјалних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радника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стицање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знања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вештина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раду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појединцима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групама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заједницама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различитих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етничких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религијских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културних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одлик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сарадња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с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организацијама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цивилног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друштва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такође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издваја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као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значајна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Ове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организације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често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имају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важну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улогу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суочавању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с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одређеним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друштвеним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изазовима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као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што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миграције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борба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против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трговине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људима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права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маргинализованих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група</w:t>
            </w:r>
            <w:proofErr w:type="spellEnd"/>
            <w:r>
              <w:rPr>
                <w:color w:val="000000" w:themeColor="text1"/>
                <w:sz w:val="22"/>
                <w:szCs w:val="22"/>
                <w:lang/>
              </w:rPr>
              <w:t xml:space="preserve"> и слично.</w:t>
            </w:r>
          </w:p>
          <w:p w:rsidR="00562F7E" w:rsidRDefault="00562F7E">
            <w:pPr>
              <w:pStyle w:val="NormalWeb"/>
              <w:spacing w:beforeAutospacing="0" w:after="0" w:line="360" w:lineRule="auto"/>
              <w:jc w:val="both"/>
              <w:rPr>
                <w:bCs/>
                <w:iCs/>
                <w:color w:val="000000"/>
                <w:sz w:val="22"/>
                <w:szCs w:val="22"/>
              </w:rPr>
            </w:pPr>
          </w:p>
          <w:p w:rsidR="00562F7E" w:rsidRDefault="005C0B54">
            <w:pPr>
              <w:pStyle w:val="Textbody"/>
              <w:widowControl/>
              <w:spacing w:after="0" w:line="360" w:lineRule="auto"/>
              <w:jc w:val="both"/>
            </w:pPr>
            <w:r>
              <w:rPr>
                <w:bCs/>
                <w:iCs/>
                <w:color w:val="000000"/>
                <w:sz w:val="22"/>
                <w:szCs w:val="22"/>
                <w:lang/>
              </w:rPr>
              <w:t>П</w:t>
            </w:r>
            <w:r>
              <w:rPr>
                <w:bCs/>
                <w:iCs/>
                <w:color w:val="000000"/>
                <w:sz w:val="22"/>
                <w:szCs w:val="22"/>
                <w:lang/>
              </w:rPr>
              <w:t>ланирана је и анализа силабуса на Основним академским студијама социјалне политике и социјалног рада ради унапређивања структуре студијског програма, јер је ове године уписана четврта генерација студената и јасно се могу уочити  недостаци у структури прогр</w:t>
            </w:r>
            <w:r>
              <w:rPr>
                <w:bCs/>
                <w:iCs/>
                <w:color w:val="000000"/>
                <w:sz w:val="22"/>
                <w:szCs w:val="22"/>
                <w:lang/>
              </w:rPr>
              <w:t xml:space="preserve">ама.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Наставу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на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Департману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изводе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наставници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сарадници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Филозофског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факултета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Нишу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Департмана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социјалну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политику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социјални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рад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Департмана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социологију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Департмана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психологију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Департмана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педагогију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)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ангажовани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наставници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Правног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факултета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Нишу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Филозофског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факултета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Скопљу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. С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обзиром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на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то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ради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о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великом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броју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наставника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сарадника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различитих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департмана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факултета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значајно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је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обједињено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евалуирају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њихова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искуства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. </w:t>
            </w:r>
          </w:p>
          <w:p w:rsidR="00562F7E" w:rsidRDefault="00562F7E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:rsidR="00562F7E" w:rsidRDefault="005C0B54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color w:val="000000" w:themeColor="text1"/>
                <w:sz w:val="22"/>
                <w:szCs w:val="22"/>
                <w:lang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Такође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укључивање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студената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евалуацију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</w:t>
            </w:r>
            <w:r>
              <w:rPr>
                <w:rFonts w:cs="Times New Roman"/>
                <w:color w:val="000000" w:themeColor="text1"/>
                <w:sz w:val="22"/>
                <w:szCs w:val="22"/>
              </w:rPr>
              <w:t>осадашњег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рада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даће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боље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увиде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образовне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потребе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очекивања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2"/>
                <w:szCs w:val="22"/>
              </w:rPr>
              <w:t>студената</w:t>
            </w:r>
            <w:proofErr w:type="spellEnd"/>
            <w:r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</w:p>
          <w:p w:rsidR="00562F7E" w:rsidRDefault="00562F7E">
            <w:pPr>
              <w:pStyle w:val="NormalWeb"/>
              <w:spacing w:beforeAutospacing="0" w:after="0" w:line="360" w:lineRule="auto"/>
              <w:jc w:val="both"/>
              <w:rPr>
                <w:color w:val="000000"/>
                <w:sz w:val="22"/>
                <w:szCs w:val="22"/>
                <w:lang w:val="sr-Latn-RS"/>
              </w:rPr>
            </w:pPr>
          </w:p>
        </w:tc>
      </w:tr>
      <w:tr w:rsidR="00562F7E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Циљ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пројекта</w:t>
            </w:r>
            <w:proofErr w:type="spellEnd"/>
          </w:p>
        </w:tc>
        <w:tc>
          <w:tcPr>
            <w:tcW w:w="8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Навести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циљ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описује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жељену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промену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чијем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остваривању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допринети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реализација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2F7E" w:rsidRDefault="00562F7E">
            <w:pPr>
              <w:jc w:val="both"/>
              <w:rPr>
                <w:rFonts w:ascii="Times New Roman" w:hAnsi="Times New Roman" w:cs="Times New Roman"/>
              </w:rPr>
            </w:pPr>
          </w:p>
          <w:p w:rsidR="00562F7E" w:rsidRDefault="005C0B54">
            <w:pPr>
              <w:spacing w:line="36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јачање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капацитета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Основних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академских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студија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социјалне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политике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социјалног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рада</w:t>
            </w:r>
            <w:proofErr w:type="spellEnd"/>
          </w:p>
          <w:p w:rsidR="00562F7E" w:rsidRDefault="00562F7E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562F7E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Специфични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циљеви</w:t>
            </w:r>
            <w:proofErr w:type="spellEnd"/>
          </w:p>
        </w:tc>
        <w:tc>
          <w:tcPr>
            <w:tcW w:w="8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Специфични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циљеви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описују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поједине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аспекте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жељене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промене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описане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циљу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основне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правце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којима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одвијати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2F7E" w:rsidRDefault="005C0B54">
            <w:pPr>
              <w:numPr>
                <w:ilvl w:val="0"/>
                <w:numId w:val="3"/>
              </w:numPr>
              <w:spacing w:after="0" w:line="360" w:lineRule="auto"/>
              <w:jc w:val="both"/>
            </w:pPr>
            <w:r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  <w:t>Јач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  <w:t xml:space="preserve">ање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сарадње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државним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факултетима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Србији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окружењу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којима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реализује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настава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Основним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академским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студијама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социјалне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политике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социјалног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рада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  <w:t>, установама социјалне заштите и релевантним удружењима и организацијама цивилног друштва.</w:t>
            </w:r>
          </w:p>
          <w:p w:rsidR="00562F7E" w:rsidRDefault="005C0B54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Евалуаци</w:t>
            </w:r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ј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досадашњег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рада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унапређивање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наставног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  <w:t>.</w:t>
            </w:r>
          </w:p>
          <w:p w:rsidR="00562F7E" w:rsidRDefault="005C0B54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  <w:t>Припремање материјала за реакредитацију.</w:t>
            </w:r>
          </w:p>
          <w:p w:rsidR="00562F7E" w:rsidRDefault="00562F7E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</w:pPr>
          </w:p>
        </w:tc>
      </w:tr>
      <w:tr w:rsidR="00562F7E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Задаци</w:t>
            </w:r>
            <w:proofErr w:type="spellEnd"/>
          </w:p>
        </w:tc>
        <w:tc>
          <w:tcPr>
            <w:tcW w:w="8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представљају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сродних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активности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усмерене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реализацију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специфичних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циљева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треба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буду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формулисани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јасно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тако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њих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проистичу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очекивани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исходи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треба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буду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планирани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реалистично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тако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буду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изводљиви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оквиру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периода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562F7E" w:rsidRDefault="00562F7E">
            <w:pPr>
              <w:jc w:val="both"/>
              <w:rPr>
                <w:rFonts w:ascii="Times New Roman" w:hAnsi="Times New Roman" w:cs="Times New Roman"/>
                <w:lang/>
              </w:rPr>
            </w:pPr>
          </w:p>
          <w:p w:rsidR="00562F7E" w:rsidRDefault="005C0B54">
            <w:pPr>
              <w:pStyle w:val="NormalWeb"/>
              <w:numPr>
                <w:ilvl w:val="0"/>
                <w:numId w:val="1"/>
              </w:numPr>
              <w:spacing w:beforeAutospacing="0" w:after="0" w:line="360" w:lineRule="auto"/>
              <w:jc w:val="both"/>
            </w:pPr>
            <w:r>
              <w:rPr>
                <w:bCs/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 xml:space="preserve">аставак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сарадње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која је успостављена у првом пројектном циклусу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између Департмана за социјалну политику и социјални рад Филозофског факултета Универзитета у Нишу са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другим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државним факултетима у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Србији и у </w:t>
            </w:r>
            <w:r>
              <w:rPr>
                <w:bCs/>
                <w:iCs/>
                <w:color w:val="000000"/>
                <w:sz w:val="22"/>
                <w:szCs w:val="22"/>
              </w:rPr>
              <w:t>земљама у окружењу на којима се изводи настава на Основним академским студијама социјалне политике и социјалног ра</w:t>
            </w:r>
            <w:r>
              <w:rPr>
                <w:bCs/>
                <w:iCs/>
                <w:color w:val="000000"/>
                <w:sz w:val="22"/>
                <w:szCs w:val="22"/>
              </w:rPr>
              <w:t>да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Факултет политичких наука у Бањој Луци, Факултет политичких наука у Сарајеву, Филозофски факултет у Мостару, Факултет за социјални рад у Љубљани, Факултет друштвених наука у Будимпешти, Филозофски факултет у Скопљу, Факултет политичких наука у Београду</w:t>
            </w:r>
            <w:r>
              <w:rPr>
                <w:bCs/>
                <w:sz w:val="22"/>
                <w:szCs w:val="22"/>
              </w:rPr>
              <w:t xml:space="preserve">): </w:t>
            </w:r>
            <w:r>
              <w:rPr>
                <w:sz w:val="22"/>
                <w:szCs w:val="22"/>
              </w:rPr>
              <w:t xml:space="preserve">учествовање на </w:t>
            </w:r>
            <w:r>
              <w:rPr>
                <w:sz w:val="22"/>
                <w:szCs w:val="22"/>
              </w:rPr>
              <w:t>научно-стручним скуповима</w:t>
            </w:r>
            <w:r>
              <w:rPr>
                <w:sz w:val="22"/>
                <w:szCs w:val="22"/>
              </w:rPr>
              <w:t>, трибинама, радионицама у организацији факултета, размена стручне литературе, консултације око реализације праксе, изборних предмета и слично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:rsidR="00562F7E" w:rsidRDefault="00562F7E">
            <w:pPr>
              <w:pStyle w:val="NormalWeb"/>
              <w:spacing w:beforeAutospacing="0" w:after="0" w:line="360" w:lineRule="auto"/>
              <w:ind w:left="720"/>
              <w:jc w:val="both"/>
              <w:rPr>
                <w:bCs/>
                <w:sz w:val="22"/>
                <w:szCs w:val="22"/>
              </w:rPr>
            </w:pPr>
          </w:p>
          <w:p w:rsidR="00562F7E" w:rsidRDefault="005C0B54">
            <w:pPr>
              <w:pStyle w:val="NormalWeb"/>
              <w:numPr>
                <w:ilvl w:val="0"/>
                <w:numId w:val="1"/>
              </w:numPr>
              <w:spacing w:beforeAutospacing="0" w:after="0" w:line="360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Наставак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сарадње </w:t>
            </w:r>
            <w:r>
              <w:rPr>
                <w:bCs/>
                <w:iCs/>
                <w:color w:val="000000"/>
                <w:sz w:val="22"/>
                <w:szCs w:val="22"/>
              </w:rPr>
              <w:t>која је већ успостављена у првом пројектном циклус</w:t>
            </w:r>
            <w:r>
              <w:rPr>
                <w:bCs/>
                <w:iCs/>
                <w:color w:val="000000"/>
                <w:sz w:val="22"/>
                <w:szCs w:val="22"/>
              </w:rPr>
              <w:t>у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између Департмана за социјалну политику и социјални рад Филозофског факултета Универзитета у Нишу</w:t>
            </w:r>
            <w:r>
              <w:rPr>
                <w:bCs/>
                <w:iCs/>
                <w:color w:val="000000"/>
                <w:sz w:val="22"/>
                <w:szCs w:val="22"/>
                <w:lang w:val="sr-Latn-RS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</w:rPr>
              <w:t>с установама социјалне заштите и релевантним удружењима и организацијама цивилног друштва у Нишу (</w:t>
            </w:r>
            <w:r>
              <w:rPr>
                <w:bCs/>
                <w:sz w:val="22"/>
                <w:szCs w:val="22"/>
              </w:rPr>
              <w:t>СОС Дечија села Србија, Црвени крст Ниш, Национално удруже</w:t>
            </w:r>
            <w:r>
              <w:rPr>
                <w:bCs/>
                <w:sz w:val="22"/>
                <w:szCs w:val="22"/>
              </w:rPr>
              <w:t xml:space="preserve">ње родитеља деце оболеле од рака – НУРДОР, Група за децу и младе „ИНДИГО“, Црвени крст Ниш, Отворени клуб, Геронтолошки центар Ниш, Центар за породични смештај и усвојење Ниш, Центар за социјални рад „Свети Сава“ Ниш):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организовање заједничких састанака и </w:t>
            </w:r>
            <w:r>
              <w:rPr>
                <w:bCs/>
                <w:iCs/>
                <w:color w:val="000000"/>
                <w:sz w:val="22"/>
                <w:szCs w:val="22"/>
              </w:rPr>
              <w:t>консултације око реализације праксе.</w:t>
            </w:r>
          </w:p>
          <w:p w:rsidR="00562F7E" w:rsidRDefault="00562F7E">
            <w:pPr>
              <w:pStyle w:val="NormalWeb"/>
              <w:spacing w:beforeAutospacing="0" w:after="0" w:line="360" w:lineRule="auto"/>
              <w:ind w:left="720"/>
              <w:jc w:val="both"/>
              <w:rPr>
                <w:bCs/>
                <w:iCs/>
                <w:color w:val="000000"/>
                <w:sz w:val="22"/>
                <w:szCs w:val="22"/>
              </w:rPr>
            </w:pPr>
          </w:p>
          <w:p w:rsidR="00562F7E" w:rsidRDefault="005C0B54">
            <w:pPr>
              <w:pStyle w:val="NormalWeb"/>
              <w:numPr>
                <w:ilvl w:val="0"/>
                <w:numId w:val="1"/>
              </w:numPr>
              <w:spacing w:beforeAutospacing="0" w:after="0" w:line="360" w:lineRule="auto"/>
              <w:jc w:val="both"/>
            </w:pPr>
            <w:r>
              <w:rPr>
                <w:bCs/>
                <w:color w:val="000000"/>
                <w:sz w:val="22"/>
                <w:szCs w:val="22"/>
              </w:rPr>
              <w:t xml:space="preserve">Анализа резултата добијених евалуацијом </w:t>
            </w:r>
            <w:r>
              <w:rPr>
                <w:bCs/>
                <w:color w:val="000000"/>
                <w:sz w:val="22"/>
                <w:szCs w:val="22"/>
              </w:rPr>
              <w:t xml:space="preserve">досадашњег рада на Департману </w:t>
            </w:r>
            <w:r>
              <w:rPr>
                <w:bCs/>
                <w:color w:val="000000"/>
                <w:sz w:val="22"/>
                <w:szCs w:val="22"/>
              </w:rPr>
              <w:lastRenderedPageBreak/>
              <w:t xml:space="preserve">за социјалну политику и социјални рад Филозофског факулета у Нишу </w:t>
            </w:r>
            <w:r>
              <w:rPr>
                <w:bCs/>
                <w:color w:val="000000"/>
                <w:sz w:val="22"/>
                <w:szCs w:val="22"/>
              </w:rPr>
              <w:t>и организовање фокус група са наставницима и сарадницима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color w:val="000000"/>
                <w:sz w:val="22"/>
                <w:szCs w:val="22"/>
              </w:rPr>
              <w:t xml:space="preserve">фокус група са студентима и фокус група са менторима праксе </w:t>
            </w:r>
            <w:r>
              <w:rPr>
                <w:bCs/>
                <w:color w:val="000000"/>
                <w:sz w:val="22"/>
                <w:szCs w:val="22"/>
              </w:rPr>
              <w:t>ради б</w:t>
            </w:r>
            <w:r>
              <w:rPr>
                <w:color w:val="000000"/>
                <w:sz w:val="22"/>
                <w:szCs w:val="22"/>
              </w:rPr>
              <w:t>ољег увида у потребе и очекивања сту</w:t>
            </w:r>
            <w:r>
              <w:rPr>
                <w:color w:val="000000"/>
                <w:sz w:val="22"/>
                <w:szCs w:val="22"/>
              </w:rPr>
              <w:t>дената и наставника</w:t>
            </w:r>
            <w:r>
              <w:rPr>
                <w:color w:val="000000"/>
                <w:sz w:val="22"/>
                <w:szCs w:val="22"/>
              </w:rPr>
              <w:t xml:space="preserve"> и </w:t>
            </w:r>
            <w:r>
              <w:rPr>
                <w:color w:val="000000"/>
                <w:sz w:val="22"/>
                <w:szCs w:val="22"/>
              </w:rPr>
              <w:t>постојеће проблеме</w:t>
            </w:r>
            <w:r>
              <w:rPr>
                <w:bCs/>
                <w:color w:val="000000"/>
                <w:sz w:val="22"/>
                <w:szCs w:val="22"/>
              </w:rPr>
              <w:t xml:space="preserve"> и изазове</w:t>
            </w:r>
            <w:r>
              <w:rPr>
                <w:bCs/>
                <w:color w:val="000000"/>
                <w:sz w:val="22"/>
                <w:szCs w:val="22"/>
              </w:rPr>
              <w:t>; а</w:t>
            </w:r>
            <w:r>
              <w:rPr>
                <w:color w:val="000000"/>
                <w:sz w:val="22"/>
                <w:szCs w:val="22"/>
              </w:rPr>
              <w:t>нализа резултата е</w:t>
            </w:r>
            <w:r>
              <w:rPr>
                <w:color w:val="000000"/>
                <w:sz w:val="22"/>
                <w:szCs w:val="22"/>
              </w:rPr>
              <w:t>валуациј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 стручне праксе и осмишљавање начина за њено што ефикасније и ефективније организовање у будућности.</w:t>
            </w:r>
          </w:p>
          <w:p w:rsidR="00562F7E" w:rsidRDefault="00562F7E">
            <w:pPr>
              <w:pStyle w:val="NormalWeb"/>
              <w:spacing w:beforeAutospacing="0" w:after="0" w:line="360" w:lineRule="auto"/>
              <w:ind w:left="720"/>
              <w:jc w:val="both"/>
              <w:rPr>
                <w:color w:val="000000"/>
                <w:sz w:val="22"/>
                <w:szCs w:val="22"/>
              </w:rPr>
            </w:pPr>
          </w:p>
          <w:p w:rsidR="00562F7E" w:rsidRDefault="005C0B54">
            <w:pPr>
              <w:pStyle w:val="NormalWeb"/>
              <w:numPr>
                <w:ilvl w:val="0"/>
                <w:numId w:val="1"/>
              </w:numPr>
              <w:spacing w:beforeAutospacing="0" w:after="0"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Анализа силабуса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 xml:space="preserve">на Департману за социјалну политику и социјални рад Филозофског факулета у Нишу </w:t>
            </w:r>
            <w:r>
              <w:rPr>
                <w:bCs/>
                <w:iCs/>
                <w:color w:val="000000"/>
                <w:sz w:val="22"/>
                <w:szCs w:val="22"/>
              </w:rPr>
              <w:t>ради унапређивања структуре и садржаја студијског програма.</w:t>
            </w:r>
          </w:p>
          <w:p w:rsidR="00562F7E" w:rsidRDefault="00562F7E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2F7E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Очекивани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исходи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резултати</w:t>
            </w:r>
            <w:proofErr w:type="spellEnd"/>
          </w:p>
        </w:tc>
        <w:tc>
          <w:tcPr>
            <w:tcW w:w="8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Навести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конкретне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мерљиве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резултате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произвести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ланирати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реално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остварљиве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исходе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резултате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основу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могућа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реализације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2F7E" w:rsidRDefault="005C0B54">
            <w:pPr>
              <w:pStyle w:val="NormalWeb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beforeAutospacing="0" w:after="0" w:line="360" w:lineRule="auto"/>
              <w:jc w:val="both"/>
            </w:pPr>
            <w:r>
              <w:rPr>
                <w:bCs/>
                <w:iCs/>
                <w:color w:val="000000"/>
                <w:sz w:val="22"/>
                <w:szCs w:val="22"/>
              </w:rPr>
              <w:t>Потписан Протокол о сарадњи с</w:t>
            </w:r>
            <w:r>
              <w:rPr>
                <w:bCs/>
                <w:iCs/>
                <w:color w:val="000000"/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 xml:space="preserve"> државним факултетима у земљи и у земљама у окружењу на којима се реализују Основне академске студије социјалне политике и социјалног рада, установама социјалне заштите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</w:rPr>
              <w:t xml:space="preserve">као и релевантним удружењима и </w:t>
            </w:r>
            <w:r>
              <w:rPr>
                <w:bCs/>
                <w:iCs/>
                <w:color w:val="000000"/>
                <w:sz w:val="22"/>
                <w:szCs w:val="22"/>
              </w:rPr>
              <w:t>организација</w:t>
            </w:r>
            <w:r>
              <w:rPr>
                <w:bCs/>
                <w:iCs/>
                <w:color w:val="000000"/>
                <w:sz w:val="22"/>
                <w:szCs w:val="22"/>
              </w:rPr>
              <w:t>ма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цивилног </w:t>
            </w:r>
            <w:r>
              <w:rPr>
                <w:bCs/>
                <w:iCs/>
                <w:color w:val="000000"/>
                <w:sz w:val="22"/>
                <w:szCs w:val="22"/>
              </w:rPr>
              <w:t>сектора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. </w:t>
            </w:r>
          </w:p>
          <w:p w:rsidR="00562F7E" w:rsidRDefault="00562F7E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360" w:lineRule="auto"/>
              <w:ind w:left="1080"/>
              <w:jc w:val="both"/>
              <w:rPr>
                <w:bCs/>
                <w:iCs/>
                <w:color w:val="000000"/>
                <w:sz w:val="22"/>
                <w:szCs w:val="22"/>
              </w:rPr>
            </w:pPr>
          </w:p>
          <w:p w:rsidR="00562F7E" w:rsidRDefault="005C0B54">
            <w:pPr>
              <w:pStyle w:val="NormalWeb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beforeAutospacing="0" w:after="0" w:line="360" w:lineRule="auto"/>
              <w:jc w:val="both"/>
            </w:pPr>
            <w:r>
              <w:rPr>
                <w:bCs/>
                <w:iCs/>
                <w:sz w:val="22"/>
                <w:szCs w:val="22"/>
              </w:rPr>
              <w:t>Висок квалитет наста</w:t>
            </w:r>
            <w:r>
              <w:rPr>
                <w:bCs/>
                <w:iCs/>
                <w:sz w:val="22"/>
                <w:szCs w:val="22"/>
              </w:rPr>
              <w:t>вног програм</w:t>
            </w:r>
            <w:r>
              <w:rPr>
                <w:bCs/>
                <w:iCs/>
                <w:sz w:val="22"/>
                <w:szCs w:val="22"/>
              </w:rPr>
              <w:t xml:space="preserve">а и </w:t>
            </w:r>
            <w:r>
              <w:rPr>
                <w:color w:val="000000"/>
                <w:sz w:val="22"/>
                <w:szCs w:val="22"/>
              </w:rPr>
              <w:t xml:space="preserve">реализације стручне праксе. </w:t>
            </w:r>
          </w:p>
          <w:p w:rsidR="00562F7E" w:rsidRDefault="00562F7E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360" w:lineRule="auto"/>
              <w:ind w:left="1080"/>
              <w:jc w:val="both"/>
              <w:rPr>
                <w:color w:val="000000"/>
                <w:sz w:val="22"/>
                <w:szCs w:val="22"/>
              </w:rPr>
            </w:pPr>
          </w:p>
          <w:p w:rsidR="00562F7E" w:rsidRDefault="005C0B54">
            <w:pPr>
              <w:pStyle w:val="NormalWeb"/>
              <w:numPr>
                <w:ilvl w:val="0"/>
                <w:numId w:val="2"/>
              </w:numPr>
              <w:spacing w:beforeAutospacing="0" w:after="0" w:line="360" w:lineRule="auto"/>
              <w:jc w:val="both"/>
            </w:pPr>
            <w:r>
              <w:rPr>
                <w:color w:val="000000"/>
                <w:sz w:val="22"/>
                <w:szCs w:val="22"/>
              </w:rPr>
              <w:t>Систематична припрема материјала за предстојећу реакредитацију (измене и допуне студијског програма и силабуса).</w:t>
            </w:r>
          </w:p>
          <w:p w:rsidR="00562F7E" w:rsidRDefault="00562F7E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360" w:lineRule="auto"/>
              <w:ind w:left="1080"/>
              <w:jc w:val="both"/>
              <w:rPr>
                <w:sz w:val="22"/>
                <w:szCs w:val="22"/>
              </w:rPr>
            </w:pPr>
          </w:p>
        </w:tc>
      </w:tr>
      <w:tr w:rsidR="00562F7E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Чланови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пројектног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тима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Навести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имена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учесника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реализацији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2F7E" w:rsidRDefault="005C0B54">
            <w:pPr>
              <w:pStyle w:val="ListParagraph"/>
              <w:jc w:val="both"/>
              <w:rPr>
                <w:bCs/>
                <w:iCs/>
                <w:color w:val="000000"/>
                <w:lang/>
              </w:rPr>
            </w:pPr>
            <w:r>
              <w:rPr>
                <w:bCs/>
                <w:iCs/>
                <w:color w:val="000000"/>
                <w:lang/>
              </w:rPr>
              <w:t xml:space="preserve">Проф. др Лела Милошевић Радуловић, руководилац </w:t>
            </w:r>
          </w:p>
          <w:p w:rsidR="00562F7E" w:rsidRDefault="005C0B54">
            <w:pPr>
              <w:pStyle w:val="ListParagraph"/>
              <w:jc w:val="both"/>
              <w:rPr>
                <w:bCs/>
                <w:iCs/>
                <w:color w:val="000000"/>
                <w:lang/>
              </w:rPr>
            </w:pPr>
            <w:r>
              <w:rPr>
                <w:bCs/>
                <w:iCs/>
                <w:color w:val="000000"/>
                <w:lang/>
              </w:rPr>
              <w:t>Проф. др Наталија Јовановић</w:t>
            </w:r>
          </w:p>
          <w:p w:rsidR="00562F7E" w:rsidRDefault="005C0B54">
            <w:pPr>
              <w:pStyle w:val="ListParagraph"/>
              <w:jc w:val="both"/>
            </w:pPr>
            <w:r>
              <w:rPr>
                <w:bCs/>
                <w:iCs/>
                <w:color w:val="000000"/>
                <w:lang/>
              </w:rPr>
              <w:t>Проф. др Јелисавета Тодоровић</w:t>
            </w:r>
          </w:p>
          <w:p w:rsidR="00562F7E" w:rsidRDefault="005C0B54">
            <w:pPr>
              <w:pStyle w:val="ListParagraph"/>
              <w:jc w:val="both"/>
              <w:rPr>
                <w:bCs/>
                <w:iCs/>
                <w:color w:val="000000"/>
                <w:lang/>
              </w:rPr>
            </w:pPr>
            <w:r>
              <w:rPr>
                <w:bCs/>
                <w:iCs/>
                <w:color w:val="000000"/>
                <w:lang/>
              </w:rPr>
              <w:t>Проф. др Данијела Гавриловић</w:t>
            </w:r>
          </w:p>
          <w:p w:rsidR="00562F7E" w:rsidRDefault="005C0B54">
            <w:pPr>
              <w:pStyle w:val="ListParagraph"/>
              <w:jc w:val="both"/>
            </w:pPr>
            <w:r>
              <w:rPr>
                <w:bCs/>
                <w:iCs/>
                <w:color w:val="000000"/>
                <w:lang/>
              </w:rPr>
              <w:t>Проф. др Сузана Марковић Крстић</w:t>
            </w:r>
          </w:p>
          <w:p w:rsidR="00562F7E" w:rsidRDefault="005C0B54">
            <w:pPr>
              <w:pStyle w:val="ListParagraph"/>
              <w:jc w:val="both"/>
              <w:rPr>
                <w:bCs/>
                <w:iCs/>
                <w:color w:val="000000"/>
                <w:lang/>
              </w:rPr>
            </w:pPr>
            <w:r>
              <w:rPr>
                <w:bCs/>
                <w:iCs/>
                <w:color w:val="000000"/>
                <w:lang/>
              </w:rPr>
              <w:t>Доц. др Кристина Ранђеловић</w:t>
            </w:r>
          </w:p>
          <w:p w:rsidR="00562F7E" w:rsidRDefault="005C0B54">
            <w:pPr>
              <w:pStyle w:val="ListParagraph"/>
              <w:jc w:val="both"/>
              <w:rPr>
                <w:bCs/>
                <w:iCs/>
                <w:color w:val="000000"/>
                <w:lang/>
              </w:rPr>
            </w:pPr>
            <w:r>
              <w:rPr>
                <w:bCs/>
                <w:iCs/>
                <w:color w:val="000000"/>
                <w:lang/>
              </w:rPr>
              <w:t>Доц. др Немања Крстић</w:t>
            </w:r>
          </w:p>
          <w:p w:rsidR="00562F7E" w:rsidRDefault="005C0B54">
            <w:pPr>
              <w:pStyle w:val="ListParagraph"/>
              <w:jc w:val="both"/>
              <w:rPr>
                <w:bCs/>
                <w:iCs/>
                <w:color w:val="000000"/>
                <w:lang/>
              </w:rPr>
            </w:pPr>
            <w:r>
              <w:rPr>
                <w:bCs/>
                <w:iCs/>
                <w:color w:val="000000"/>
                <w:lang/>
              </w:rPr>
              <w:t>Љиљана Скробић</w:t>
            </w:r>
          </w:p>
          <w:p w:rsidR="00562F7E" w:rsidRDefault="005C0B54">
            <w:pPr>
              <w:pStyle w:val="ListParagraph"/>
              <w:jc w:val="both"/>
              <w:rPr>
                <w:bCs/>
                <w:iCs/>
                <w:color w:val="000000"/>
                <w:lang/>
              </w:rPr>
            </w:pPr>
            <w:r>
              <w:rPr>
                <w:bCs/>
                <w:iCs/>
                <w:color w:val="000000"/>
                <w:lang/>
              </w:rPr>
              <w:t>Бојана Пуцар</w:t>
            </w:r>
            <w:r>
              <w:rPr>
                <w:bCs/>
                <w:iCs/>
                <w:color w:val="000000"/>
                <w:lang/>
              </w:rPr>
              <w:t>евић</w:t>
            </w:r>
          </w:p>
          <w:p w:rsidR="00562F7E" w:rsidRDefault="005C0B54">
            <w:pPr>
              <w:pStyle w:val="ListParagraph"/>
              <w:jc w:val="both"/>
              <w:rPr>
                <w:bCs/>
                <w:iCs/>
                <w:color w:val="000000"/>
                <w:lang/>
              </w:rPr>
            </w:pPr>
            <w:r>
              <w:rPr>
                <w:bCs/>
                <w:iCs/>
                <w:color w:val="000000"/>
                <w:lang/>
              </w:rPr>
              <w:t>Иван Анђелковић</w:t>
            </w:r>
          </w:p>
          <w:p w:rsidR="00562F7E" w:rsidRDefault="00562F7E">
            <w:pPr>
              <w:pStyle w:val="ListParagraph"/>
              <w:jc w:val="both"/>
            </w:pPr>
          </w:p>
        </w:tc>
      </w:tr>
    </w:tbl>
    <w:p w:rsidR="00562F7E" w:rsidRDefault="00562F7E">
      <w:pPr>
        <w:jc w:val="both"/>
        <w:rPr>
          <w:rFonts w:ascii="Times New Roman" w:hAnsi="Times New Roman" w:cs="Times New Roman"/>
        </w:rPr>
        <w:sectPr w:rsidR="00562F7E">
          <w:headerReference w:type="default" r:id="rId8"/>
          <w:footerReference w:type="default" r:id="rId9"/>
          <w:pgSz w:w="11906" w:h="16838"/>
          <w:pgMar w:top="2236" w:right="1361" w:bottom="1361" w:left="1361" w:header="426" w:footer="551" w:gutter="0"/>
          <w:cols w:space="720"/>
          <w:formProt w:val="0"/>
          <w:docGrid w:linePitch="360" w:charSpace="4096"/>
        </w:sectPr>
      </w:pPr>
    </w:p>
    <w:p w:rsidR="00562F7E" w:rsidRDefault="005C0B54">
      <w:pPr>
        <w:ind w:left="-1276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lastRenderedPageBreak/>
        <w:t>Временски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план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реализације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пројекта</w:t>
      </w:r>
      <w:proofErr w:type="spellEnd"/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</w:rPr>
        <w:t>планирати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конкретне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кораке</w:t>
      </w:r>
      <w:proofErr w:type="spellEnd"/>
      <w:r>
        <w:rPr>
          <w:rFonts w:ascii="Times New Roman" w:hAnsi="Times New Roman" w:cs="Times New Roman"/>
          <w:b/>
        </w:rPr>
        <w:t xml:space="preserve"> у </w:t>
      </w:r>
      <w:proofErr w:type="spellStart"/>
      <w:r>
        <w:rPr>
          <w:rFonts w:ascii="Times New Roman" w:hAnsi="Times New Roman" w:cs="Times New Roman"/>
          <w:b/>
        </w:rPr>
        <w:t>реализацији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пројекта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месецима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почев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од</w:t>
      </w:r>
      <w:proofErr w:type="spellEnd"/>
      <w:r>
        <w:rPr>
          <w:rFonts w:ascii="Times New Roman" w:hAnsi="Times New Roman" w:cs="Times New Roman"/>
          <w:b/>
        </w:rPr>
        <w:t xml:space="preserve"> 1. </w:t>
      </w:r>
      <w:proofErr w:type="spellStart"/>
      <w:r>
        <w:rPr>
          <w:rFonts w:ascii="Times New Roman" w:hAnsi="Times New Roman" w:cs="Times New Roman"/>
          <w:b/>
        </w:rPr>
        <w:t>новембра</w:t>
      </w:r>
      <w:proofErr w:type="spellEnd"/>
      <w:r>
        <w:rPr>
          <w:rFonts w:ascii="Times New Roman" w:hAnsi="Times New Roman" w:cs="Times New Roman"/>
          <w:b/>
        </w:rPr>
        <w:t xml:space="preserve"> 2019. </w:t>
      </w:r>
      <w:proofErr w:type="spellStart"/>
      <w:r>
        <w:rPr>
          <w:rFonts w:ascii="Times New Roman" w:hAnsi="Times New Roman" w:cs="Times New Roman"/>
          <w:b/>
        </w:rPr>
        <w:t>до</w:t>
      </w:r>
      <w:proofErr w:type="spellEnd"/>
      <w:r>
        <w:rPr>
          <w:rFonts w:ascii="Times New Roman" w:hAnsi="Times New Roman" w:cs="Times New Roman"/>
          <w:b/>
        </w:rPr>
        <w:t xml:space="preserve"> 30. </w:t>
      </w:r>
      <w:proofErr w:type="spellStart"/>
      <w:r>
        <w:rPr>
          <w:rFonts w:ascii="Times New Roman" w:hAnsi="Times New Roman" w:cs="Times New Roman"/>
          <w:b/>
        </w:rPr>
        <w:t>јуна</w:t>
      </w:r>
      <w:proofErr w:type="spellEnd"/>
      <w:r>
        <w:rPr>
          <w:rFonts w:ascii="Times New Roman" w:hAnsi="Times New Roman" w:cs="Times New Roman"/>
          <w:b/>
        </w:rPr>
        <w:t xml:space="preserve"> 2020. </w:t>
      </w:r>
      <w:proofErr w:type="spellStart"/>
      <w:r>
        <w:rPr>
          <w:rFonts w:ascii="Times New Roman" w:hAnsi="Times New Roman" w:cs="Times New Roman"/>
          <w:b/>
        </w:rPr>
        <w:t>године</w:t>
      </w:r>
      <w:proofErr w:type="spellEnd"/>
      <w:r>
        <w:rPr>
          <w:rFonts w:ascii="Times New Roman" w:hAnsi="Times New Roman" w:cs="Times New Roman"/>
          <w:b/>
        </w:rPr>
        <w:t>):</w:t>
      </w:r>
    </w:p>
    <w:tbl>
      <w:tblPr>
        <w:tblpPr w:leftFromText="180" w:rightFromText="180" w:vertAnchor="text" w:tblpX="-1281" w:tblpY="1"/>
        <w:tblW w:w="16214" w:type="dxa"/>
        <w:tblBorders>
          <w:top w:val="single" w:sz="4" w:space="0" w:color="00000A"/>
          <w:left w:val="single" w:sz="4" w:space="0" w:color="00000A"/>
          <w:bottom w:val="thinThickSmallGap" w:sz="24" w:space="0" w:color="00000A"/>
          <w:right w:val="single" w:sz="4" w:space="0" w:color="00000A"/>
          <w:insideH w:val="thinThickSmallGap" w:sz="2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950"/>
        <w:gridCol w:w="3238"/>
        <w:gridCol w:w="1700"/>
        <w:gridCol w:w="625"/>
        <w:gridCol w:w="625"/>
        <w:gridCol w:w="562"/>
        <w:gridCol w:w="563"/>
        <w:gridCol w:w="512"/>
        <w:gridCol w:w="625"/>
        <w:gridCol w:w="625"/>
        <w:gridCol w:w="1189"/>
      </w:tblGrid>
      <w:tr w:rsidR="00562F7E">
        <w:tc>
          <w:tcPr>
            <w:tcW w:w="5950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Активност</w:t>
            </w:r>
            <w:proofErr w:type="spellEnd"/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Реализатори</w:t>
            </w:r>
            <w:proofErr w:type="spellEnd"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Трајање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недељама</w:t>
            </w:r>
            <w:proofErr w:type="spellEnd"/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XI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XII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thinThickSmallGap" w:sz="2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VI</w:t>
            </w:r>
          </w:p>
        </w:tc>
      </w:tr>
      <w:tr w:rsidR="00562F7E">
        <w:tc>
          <w:tcPr>
            <w:tcW w:w="5950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both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/>
              </w:rPr>
              <w:t xml:space="preserve">Рад на Зборнику радова који је резултат Међународне конференције одржане 20. септембра  у оквиру претходног интерног пројекта: обезбеђивање рецензија радова, техничко сређивање и припрема </w:t>
            </w:r>
            <w:r>
              <w:rPr>
                <w:rFonts w:ascii="Times New Roman" w:hAnsi="Times New Roman" w:cs="Times New Roman"/>
                <w:lang/>
              </w:rPr>
              <w:t>Зборника за штампу.</w:t>
            </w:r>
          </w:p>
          <w:p w:rsidR="00562F7E" w:rsidRDefault="005C0B54">
            <w:pPr>
              <w:spacing w:before="20" w:after="20"/>
              <w:jc w:val="both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Рок за слање коначних верзија радова је 31. октобар, тако да ће припреме започети 1. новембра. </w:t>
            </w:r>
          </w:p>
        </w:tc>
        <w:tc>
          <w:tcPr>
            <w:tcW w:w="3238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/>
              </w:rPr>
              <w:t xml:space="preserve">Уредници Зборника </w:t>
            </w:r>
          </w:p>
        </w:tc>
        <w:tc>
          <w:tcPr>
            <w:tcW w:w="1700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center"/>
            </w:pPr>
            <w:r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25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25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thinThickSmallGap" w:sz="2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562F7E">
        <w:tc>
          <w:tcPr>
            <w:tcW w:w="5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pStyle w:val="NormalWeb"/>
              <w:spacing w:beforeAutospacing="0" w:after="0" w:line="276" w:lineRule="auto"/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Контакт и размена искуства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са другим државним факултетима у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Србији и у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земљама у окружењу на којима се </w:t>
            </w:r>
            <w:r>
              <w:rPr>
                <w:bCs/>
                <w:iCs/>
                <w:color w:val="000000"/>
                <w:sz w:val="22"/>
                <w:szCs w:val="22"/>
              </w:rPr>
              <w:t>изводи настава на Основним академским студијама социјалне политике и социјалног рада</w:t>
            </w:r>
            <w:r>
              <w:rPr>
                <w:bCs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ангажовани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пројекту</w:t>
            </w:r>
            <w:proofErr w:type="spellEnd"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both"/>
            </w:pPr>
            <w:r>
              <w:rPr>
                <w:rFonts w:ascii="Times New Roman" w:hAnsi="Times New Roman" w:cs="Times New Roman"/>
                <w:lang/>
              </w:rPr>
              <w:t>Током читавог пројектног циклуса.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X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62F7E">
        <w:trPr>
          <w:trHeight w:val="265"/>
        </w:trPr>
        <w:tc>
          <w:tcPr>
            <w:tcW w:w="5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color w:val="000000"/>
                <w:lang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  <w:t xml:space="preserve">Контакт и размена искуства с установама социјалне заштите и релевантним удружењима и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/>
              </w:rPr>
              <w:t>организацијама цивилног сектора у Нишу.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Љиљана Скробић, Бој</w:t>
            </w:r>
            <w:r>
              <w:rPr>
                <w:rFonts w:ascii="Times New Roman" w:hAnsi="Times New Roman" w:cs="Times New Roman"/>
                <w:lang w:val="sr-Latn-RS"/>
              </w:rPr>
              <w:t>a</w:t>
            </w:r>
            <w:r>
              <w:rPr>
                <w:rFonts w:ascii="Times New Roman" w:hAnsi="Times New Roman" w:cs="Times New Roman"/>
                <w:lang/>
              </w:rPr>
              <w:t>на Пуцаревић, Иван Анђелковић и проф. задужени за реализацију праксе.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jc w:val="both"/>
            </w:pPr>
            <w:r>
              <w:rPr>
                <w:rFonts w:ascii="Times New Roman" w:hAnsi="Times New Roman" w:cs="Times New Roman"/>
                <w:lang/>
              </w:rPr>
              <w:t>Током читавог пројектног циклуса.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62F7E">
        <w:tc>
          <w:tcPr>
            <w:tcW w:w="5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both"/>
            </w:pPr>
            <w:r>
              <w:rPr>
                <w:rFonts w:ascii="Times New Roman" w:hAnsi="Times New Roman" w:cs="Times New Roman"/>
                <w:bCs/>
                <w:color w:val="000000"/>
                <w:lang/>
              </w:rPr>
              <w:t xml:space="preserve">Анализа резултата добијених евалуацијом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досадашњег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рада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Департману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социјалну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политику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социјални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рад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Филозофског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факулета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Нишу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val="sr-Latn-R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color w:val="000000"/>
                <w:lang/>
              </w:rPr>
              <w:t>евалуација студијског програма и евалуација курсева), писање извештаја и формулисање препорука за измене и допуне.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ангажовани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пројекту</w:t>
            </w:r>
            <w:proofErr w:type="spellEnd"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center"/>
            </w:pPr>
            <w:r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562F7E">
        <w:tc>
          <w:tcPr>
            <w:tcW w:w="5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/>
              </w:rPr>
              <w:t xml:space="preserve">Организовање фокус група са наставницима и сарадницима (4 фокус групе) и са студентима (4 фокус групе)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Департман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социјалну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политику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социјални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рад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Филозофског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факулета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Нишу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/>
              </w:rPr>
              <w:t xml:space="preserve"> и  једне фокус групе са менторима праксе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ради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ољег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увида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потребе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очекивања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студената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наставника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увида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постојеће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проблеме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изазове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/>
              </w:rPr>
              <w:t xml:space="preserve">, анализа добијених резултата, писање извештаја </w:t>
            </w:r>
            <w:r>
              <w:rPr>
                <w:rFonts w:ascii="Times New Roman" w:hAnsi="Times New Roman" w:cs="Times New Roman"/>
                <w:bCs/>
                <w:color w:val="000000"/>
                <w:lang/>
              </w:rPr>
              <w:t>и формулисање препорука за измене и допуне.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ангажовани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пројекту</w:t>
            </w:r>
            <w:proofErr w:type="spellEnd"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center"/>
              <w:rPr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16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62F7E">
        <w:tc>
          <w:tcPr>
            <w:tcW w:w="5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pStyle w:val="NormalWeb"/>
              <w:spacing w:beforeAutospacing="0" w:after="0"/>
              <w:jc w:val="both"/>
            </w:pPr>
            <w:r>
              <w:rPr>
                <w:bCs/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нализа резултата е</w:t>
            </w:r>
            <w:r>
              <w:rPr>
                <w:color w:val="000000"/>
                <w:sz w:val="22"/>
                <w:szCs w:val="22"/>
              </w:rPr>
              <w:t>валуациј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 реализације стручне праксе и осмишљавање начина за њено што ефикасније и ефективније организовање у будућности</w:t>
            </w:r>
            <w:r>
              <w:rPr>
                <w:color w:val="000000"/>
                <w:sz w:val="22"/>
                <w:szCs w:val="22"/>
              </w:rPr>
              <w:t xml:space="preserve">, писање извештаја </w:t>
            </w:r>
            <w:r>
              <w:rPr>
                <w:bCs/>
                <w:color w:val="000000"/>
              </w:rPr>
              <w:t>и формулисање препорука за измене и допуне.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/>
              </w:rPr>
              <w:t>Љиљана Скробић, Бој</w:t>
            </w:r>
            <w:r>
              <w:rPr>
                <w:rFonts w:ascii="Times New Roman" w:hAnsi="Times New Roman" w:cs="Times New Roman"/>
                <w:lang w:val="sr-Latn-RS"/>
              </w:rPr>
              <w:t>a</w:t>
            </w:r>
            <w:r>
              <w:rPr>
                <w:rFonts w:ascii="Times New Roman" w:hAnsi="Times New Roman" w:cs="Times New Roman"/>
                <w:lang/>
              </w:rPr>
              <w:t xml:space="preserve">на Пуцаревић, Иван Анђелковић и проф. задужени за реализацију </w:t>
            </w:r>
            <w:r>
              <w:rPr>
                <w:rFonts w:ascii="Times New Roman" w:hAnsi="Times New Roman" w:cs="Times New Roman"/>
                <w:lang/>
              </w:rPr>
              <w:t>праксе.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center"/>
            </w:pPr>
            <w:r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rPr>
                <w:rFonts w:ascii="Times New Roman" w:hAnsi="Times New Roman" w:cs="Times New Roman"/>
              </w:rPr>
            </w:pPr>
          </w:p>
        </w:tc>
      </w:tr>
      <w:tr w:rsidR="00562F7E">
        <w:tc>
          <w:tcPr>
            <w:tcW w:w="5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pStyle w:val="NormalWeb"/>
              <w:spacing w:beforeAutospacing="0" w:after="0"/>
              <w:jc w:val="both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</w:rPr>
              <w:t xml:space="preserve">Анализа силабуса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Latn-RS"/>
              </w:rPr>
              <w:t>(</w:t>
            </w:r>
            <w:r>
              <w:rPr>
                <w:color w:val="000000"/>
                <w:sz w:val="22"/>
                <w:szCs w:val="22"/>
              </w:rPr>
              <w:t xml:space="preserve">од </w:t>
            </w:r>
            <w:r>
              <w:rPr>
                <w:color w:val="000000"/>
                <w:sz w:val="22"/>
                <w:szCs w:val="22"/>
                <w:lang w:val="sr-Latn-RS"/>
              </w:rPr>
              <w:t xml:space="preserve">I </w:t>
            </w:r>
            <w:r>
              <w:rPr>
                <w:color w:val="000000"/>
                <w:sz w:val="22"/>
                <w:szCs w:val="22"/>
              </w:rPr>
              <w:t>до</w:t>
            </w:r>
            <w:r>
              <w:rPr>
                <w:color w:val="000000"/>
                <w:sz w:val="22"/>
                <w:szCs w:val="22"/>
                <w:lang w:val="sr-Latn-RS"/>
              </w:rPr>
              <w:t xml:space="preserve"> IV</w:t>
            </w:r>
            <w:r>
              <w:rPr>
                <w:color w:val="000000"/>
                <w:sz w:val="22"/>
                <w:szCs w:val="22"/>
              </w:rPr>
              <w:t xml:space="preserve"> године</w:t>
            </w:r>
            <w:r>
              <w:rPr>
                <w:color w:val="000000"/>
                <w:sz w:val="22"/>
                <w:szCs w:val="22"/>
                <w:lang w:val="sr-Latn-RS"/>
              </w:rPr>
              <w:t>)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и формулисање предлога за измене и допуне</w:t>
            </w:r>
            <w:r>
              <w:rPr>
                <w:bCs/>
                <w:iCs/>
                <w:color w:val="000000"/>
                <w:sz w:val="22"/>
                <w:szCs w:val="22"/>
                <w:lang w:val="sr-Latn-R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</w:rPr>
              <w:t>ради унапређивања структуре и садржаја студијског програма</w:t>
            </w:r>
            <w:r>
              <w:rPr>
                <w:bCs/>
                <w:iCs/>
                <w:color w:val="000000"/>
                <w:sz w:val="22"/>
                <w:szCs w:val="22"/>
                <w:lang w:val="sr-Latn-RS"/>
              </w:rPr>
              <w:t>.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ангажовани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/>
              </w:rPr>
              <w:t>2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X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rPr>
                <w:rFonts w:ascii="Times New Roman" w:hAnsi="Times New Roman" w:cs="Times New Roman"/>
                <w:lang/>
              </w:rPr>
            </w:pPr>
          </w:p>
        </w:tc>
      </w:tr>
      <w:tr w:rsidR="00562F7E">
        <w:tc>
          <w:tcPr>
            <w:tcW w:w="5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pStyle w:val="NormalWeb"/>
              <w:spacing w:beforeAutospacing="0" w:after="0"/>
              <w:jc w:val="both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</w:rPr>
              <w:t xml:space="preserve">Измене и допуне студијског програма на основу </w:t>
            </w:r>
            <w:r>
              <w:rPr>
                <w:color w:val="000000"/>
                <w:sz w:val="22"/>
                <w:szCs w:val="22"/>
              </w:rPr>
              <w:t>препорука.</w:t>
            </w:r>
          </w:p>
          <w:p w:rsidR="00562F7E" w:rsidRDefault="005C0B54">
            <w:pPr>
              <w:pStyle w:val="NormalWeb"/>
              <w:spacing w:beforeAutospacing="0" w:after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Припрема програма за реакредитацију.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ангажовани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jc w:val="center"/>
              <w:rPr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62F7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spacing w:before="20" w:after="2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X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2F7E" w:rsidRDefault="005C0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X</w:t>
            </w:r>
          </w:p>
        </w:tc>
      </w:tr>
    </w:tbl>
    <w:p w:rsidR="00562F7E" w:rsidRDefault="00562F7E"/>
    <w:sectPr w:rsidR="00562F7E">
      <w:headerReference w:type="default" r:id="rId10"/>
      <w:footerReference w:type="default" r:id="rId11"/>
      <w:pgSz w:w="16838" w:h="11906" w:orient="landscape"/>
      <w:pgMar w:top="2371" w:right="1361" w:bottom="1361" w:left="2236" w:header="426" w:footer="551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B54" w:rsidRDefault="005C0B54">
      <w:pPr>
        <w:spacing w:after="0" w:line="240" w:lineRule="auto"/>
      </w:pPr>
      <w:r>
        <w:separator/>
      </w:r>
    </w:p>
  </w:endnote>
  <w:endnote w:type="continuationSeparator" w:id="0">
    <w:p w:rsidR="005C0B54" w:rsidRDefault="005C0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4316674"/>
      <w:docPartObj>
        <w:docPartGallery w:val="Page Numbers (Bottom of Page)"/>
        <w:docPartUnique/>
      </w:docPartObj>
    </w:sdtPr>
    <w:sdtEndPr/>
    <w:sdtContent>
      <w:p w:rsidR="00562F7E" w:rsidRDefault="005C0B54">
        <w:pPr>
          <w:pStyle w:val="Footer"/>
          <w:jc w:val="right"/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  <w:noProof/>
          </w:rPr>
          <w:drawing>
            <wp:anchor distT="0" distB="6350" distL="114300" distR="114300" simplePos="0" relativeHeight="11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9999980</wp:posOffset>
              </wp:positionV>
              <wp:extent cx="1259840" cy="107950"/>
              <wp:effectExtent l="0" t="0" r="0" b="0"/>
              <wp:wrapNone/>
              <wp:docPr id="2" name="Picture 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5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59840" cy="107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mbria" w:hAnsi="Cambria"/>
          </w:rPr>
          <w:instrText>PAGE</w:instrText>
        </w:r>
        <w:r>
          <w:rPr>
            <w:rFonts w:ascii="Cambria" w:hAnsi="Cambria"/>
          </w:rPr>
          <w:fldChar w:fldCharType="separate"/>
        </w:r>
        <w:r>
          <w:rPr>
            <w:rFonts w:ascii="Cambria" w:hAnsi="Cambria"/>
          </w:rPr>
          <w:t>5</w:t>
        </w:r>
        <w:r>
          <w:rPr>
            <w:rFonts w:ascii="Cambria" w:hAnsi="Cambria"/>
          </w:rPr>
          <w:fldChar w:fldCharType="end"/>
        </w:r>
      </w:p>
    </w:sdtContent>
  </w:sdt>
  <w:p w:rsidR="00562F7E" w:rsidRDefault="00562F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6542152"/>
      <w:docPartObj>
        <w:docPartGallery w:val="Page Numbers (Bottom of Page)"/>
        <w:docPartUnique/>
      </w:docPartObj>
    </w:sdtPr>
    <w:sdtEndPr/>
    <w:sdtContent>
      <w:p w:rsidR="00562F7E" w:rsidRDefault="005C0B54">
        <w:pPr>
          <w:pStyle w:val="Footer"/>
          <w:jc w:val="right"/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  <w:noProof/>
          </w:rPr>
          <w:drawing>
            <wp:anchor distT="0" distB="6350" distL="114300" distR="114300" simplePos="0" relativeHeight="13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9999345</wp:posOffset>
              </wp:positionV>
              <wp:extent cx="1260475" cy="1270"/>
              <wp:effectExtent l="0" t="0" r="0" b="0"/>
              <wp:wrapNone/>
              <wp:docPr id="3" name="Image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"/>
                      <pic:cNvPicPr/>
                    </pic:nvPicPr>
                    <pic:blipFill>
                      <a:blip r:embed="rId1"/>
                      <a:stretch/>
                    </pic:blipFill>
                    <pic:spPr>
                      <a:xfrm rot="10800000">
                        <a:off x="0" y="0"/>
                        <a:ext cx="1260000" cy="720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rPr>
            <w:rFonts w:ascii="Cambria" w:hAnsi="Cambria"/>
          </w:rPr>
          <w:instrText>PAGE</w:instrText>
        </w:r>
        <w:r>
          <w:rPr>
            <w:rFonts w:ascii="Cambria" w:hAnsi="Cambria"/>
          </w:rPr>
          <w:fldChar w:fldCharType="separate"/>
        </w:r>
        <w:r>
          <w:rPr>
            <w:rFonts w:ascii="Cambria" w:hAnsi="Cambria"/>
          </w:rPr>
          <w:t>7</w:t>
        </w:r>
        <w:r>
          <w:rPr>
            <w:rFonts w:ascii="Cambria" w:hAnsi="Cambria"/>
          </w:rPr>
          <w:fldChar w:fldCharType="end"/>
        </w:r>
      </w:p>
    </w:sdtContent>
  </w:sdt>
  <w:p w:rsidR="00562F7E" w:rsidRDefault="00562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B54" w:rsidRDefault="005C0B54">
      <w:pPr>
        <w:spacing w:after="0" w:line="240" w:lineRule="auto"/>
      </w:pPr>
      <w:r>
        <w:separator/>
      </w:r>
    </w:p>
  </w:footnote>
  <w:footnote w:type="continuationSeparator" w:id="0">
    <w:p w:rsidR="005C0B54" w:rsidRDefault="005C0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F7E" w:rsidRDefault="005C0B54">
    <w:pPr>
      <w:pStyle w:val="Header"/>
    </w:pPr>
    <w:r>
      <w:rPr>
        <w:noProof/>
      </w:rPr>
      <w:drawing>
        <wp:anchor distT="0" distB="2540" distL="114300" distR="114300" simplePos="0" relativeHeight="6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175" cy="1083310"/>
          <wp:effectExtent l="0" t="0" r="0" b="0"/>
          <wp:wrapNone/>
          <wp:docPr id="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1083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F7E" w:rsidRDefault="00562F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01F16"/>
    <w:multiLevelType w:val="multilevel"/>
    <w:tmpl w:val="7A28AC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4612404"/>
    <w:multiLevelType w:val="multilevel"/>
    <w:tmpl w:val="E6F2933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09602A2"/>
    <w:multiLevelType w:val="multilevel"/>
    <w:tmpl w:val="3DB483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47EC2"/>
    <w:multiLevelType w:val="multilevel"/>
    <w:tmpl w:val="71EA7C42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F7E"/>
    <w:rsid w:val="00562F7E"/>
    <w:rsid w:val="005C0B54"/>
    <w:rsid w:val="00E6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A1A6"/>
  <w15:docId w15:val="{2C96CCA0-AB23-4B05-A517-8F217389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C08FA"/>
    <w:pPr>
      <w:spacing w:after="160" w:line="259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DF5DD5"/>
  </w:style>
  <w:style w:type="character" w:customStyle="1" w:styleId="FooterChar">
    <w:name w:val="Footer Char"/>
    <w:basedOn w:val="DefaultParagraphFont"/>
    <w:link w:val="Footer"/>
    <w:uiPriority w:val="99"/>
    <w:qFormat/>
    <w:rsid w:val="00DF5DD5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F5DD5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  <w:b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  <w:b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ascii="Times New Roman" w:hAnsi="Times New Roman" w:cs="Wingdings"/>
      <w:b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paragraph" w:styleId="ListParagraph">
    <w:name w:val="List Paragraph"/>
    <w:basedOn w:val="Normal"/>
    <w:uiPriority w:val="34"/>
    <w:qFormat/>
    <w:rsid w:val="00F807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Textbody">
    <w:name w:val="Text body"/>
    <w:basedOn w:val="Normal"/>
    <w:qFormat/>
    <w:rsid w:val="001F577D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AFA42-6F32-4D58-9294-83535300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1555</Words>
  <Characters>8866</Characters>
  <Application>Microsoft Office Word</Application>
  <DocSecurity>0</DocSecurity>
  <Lines>73</Lines>
  <Paragraphs>20</Paragraphs>
  <ScaleCrop>false</ScaleCrop>
  <Company/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dc:description/>
  <cp:lastModifiedBy>Dušan Stamenković</cp:lastModifiedBy>
  <cp:revision>13</cp:revision>
  <cp:lastPrinted>2019-10-17T16:17:00Z</cp:lastPrinted>
  <dcterms:created xsi:type="dcterms:W3CDTF">2019-10-07T23:49:00Z</dcterms:created>
  <dcterms:modified xsi:type="dcterms:W3CDTF">2019-10-22T10:29:00Z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